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B251" w14:textId="2069B2D0" w:rsidR="00FF7347" w:rsidRPr="00602E67" w:rsidRDefault="00FF7347" w:rsidP="00FF7347">
      <w:pPr>
        <w:pStyle w:val="Title"/>
        <w:rPr>
          <w:rFonts w:ascii="Arial" w:eastAsia="Times New Roman" w:hAnsi="Arial" w:cs="Arial"/>
          <w:color w:val="17365D"/>
          <w:sz w:val="34"/>
          <w:szCs w:val="34"/>
        </w:rPr>
      </w:pPr>
      <w:r w:rsidRPr="00602E67">
        <w:rPr>
          <w:rFonts w:ascii="Arial" w:eastAsia="Times New Roman" w:hAnsi="Arial" w:cs="Arial"/>
          <w:color w:val="17365D"/>
          <w:sz w:val="34"/>
          <w:szCs w:val="34"/>
        </w:rPr>
        <w:t>MPC-</w:t>
      </w:r>
      <w:r w:rsidR="00602E67">
        <w:rPr>
          <w:rFonts w:ascii="Arial" w:eastAsia="Times New Roman" w:hAnsi="Arial" w:cs="Arial"/>
          <w:color w:val="17365D"/>
          <w:sz w:val="34"/>
          <w:szCs w:val="34"/>
        </w:rPr>
        <w:t>697</w:t>
      </w:r>
    </w:p>
    <w:p w14:paraId="1260CB02" w14:textId="6457650B" w:rsidR="00FF7347" w:rsidRPr="00602E67" w:rsidRDefault="00602E67" w:rsidP="00FF7347">
      <w:pPr>
        <w:pStyle w:val="Title"/>
        <w:rPr>
          <w:rFonts w:ascii="Arial" w:eastAsia="Times New Roman" w:hAnsi="Arial" w:cs="Arial"/>
          <w:color w:val="17365D"/>
          <w:sz w:val="28"/>
          <w:szCs w:val="28"/>
        </w:rPr>
      </w:pPr>
      <w:r>
        <w:rPr>
          <w:rFonts w:ascii="Arial" w:eastAsia="Times New Roman" w:hAnsi="Arial" w:cs="Arial"/>
          <w:color w:val="17365D"/>
          <w:sz w:val="28"/>
          <w:szCs w:val="28"/>
        </w:rPr>
        <w:t>October 13, 2022</w:t>
      </w:r>
    </w:p>
    <w:p w14:paraId="2658CFB0" w14:textId="77777777" w:rsidR="00FF7347" w:rsidRPr="00145C9E" w:rsidRDefault="00FF7347" w:rsidP="00FF7347">
      <w:pPr>
        <w:pStyle w:val="Heading1"/>
      </w:pPr>
      <w:r>
        <w:t>Project Title</w:t>
      </w:r>
    </w:p>
    <w:p w14:paraId="3824631D" w14:textId="4DDF504F" w:rsidR="00FF7347" w:rsidRDefault="00FF7347" w:rsidP="00A848CF">
      <w:r>
        <w:t>A Microscopic Approach for Electric Vehicle Demand Estimation</w:t>
      </w:r>
    </w:p>
    <w:p w14:paraId="66FB10A5" w14:textId="77777777" w:rsidR="00FF7347" w:rsidRPr="008A4EBA" w:rsidRDefault="00FF7347" w:rsidP="00FF7347">
      <w:pPr>
        <w:pStyle w:val="Heading1"/>
      </w:pPr>
      <w:r w:rsidRPr="007A6340">
        <w:t>Universit</w:t>
      </w:r>
      <w:r>
        <w:t>y</w:t>
      </w:r>
    </w:p>
    <w:p w14:paraId="48BA8439" w14:textId="77777777" w:rsidR="00FF7347" w:rsidRDefault="00FF7347" w:rsidP="00A848CF">
      <w:r w:rsidRPr="005A7E45">
        <w:t>University of Utah</w:t>
      </w:r>
    </w:p>
    <w:p w14:paraId="366F6955" w14:textId="77777777" w:rsidR="00FF7347" w:rsidRPr="007A6340" w:rsidRDefault="00FF7347" w:rsidP="00FF7347">
      <w:pPr>
        <w:pStyle w:val="Heading1"/>
      </w:pPr>
      <w:r w:rsidRPr="007A6340">
        <w:t>Principal Investigat</w:t>
      </w:r>
      <w:r>
        <w:t>ors</w:t>
      </w:r>
    </w:p>
    <w:p w14:paraId="6B28A78F" w14:textId="00F92FB5"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 xml:space="preserve">Xiaoyue </w:t>
      </w:r>
      <w:r w:rsidR="00534622">
        <w:rPr>
          <w:rFonts w:eastAsia="Times New Roman" w:cs="Times New Roman"/>
          <w:color w:val="000000"/>
          <w:szCs w:val="24"/>
        </w:rPr>
        <w:t>“</w:t>
      </w:r>
      <w:r w:rsidRPr="00110237">
        <w:rPr>
          <w:rFonts w:eastAsia="Times New Roman" w:cs="Times New Roman"/>
          <w:color w:val="000000"/>
          <w:szCs w:val="24"/>
        </w:rPr>
        <w:t>Cathy</w:t>
      </w:r>
      <w:r w:rsidR="00534622">
        <w:rPr>
          <w:rFonts w:eastAsia="Times New Roman" w:cs="Times New Roman"/>
          <w:color w:val="000000"/>
          <w:szCs w:val="24"/>
        </w:rPr>
        <w:t>”</w:t>
      </w:r>
      <w:r w:rsidRPr="00110237">
        <w:rPr>
          <w:rFonts w:eastAsia="Times New Roman" w:cs="Times New Roman"/>
          <w:color w:val="000000"/>
          <w:szCs w:val="24"/>
        </w:rPr>
        <w:t xml:space="preserve"> Liu, Ph.D.</w:t>
      </w:r>
      <w:r>
        <w:rPr>
          <w:rFonts w:eastAsia="Times New Roman" w:cs="Times New Roman"/>
          <w:color w:val="000000"/>
          <w:szCs w:val="24"/>
        </w:rPr>
        <w:t>, P.E.</w:t>
      </w:r>
    </w:p>
    <w:p w14:paraId="11B1164F" w14:textId="77777777"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A</w:t>
      </w:r>
      <w:r>
        <w:rPr>
          <w:rFonts w:eastAsia="Times New Roman" w:cs="Times New Roman"/>
          <w:color w:val="000000"/>
          <w:szCs w:val="24"/>
        </w:rPr>
        <w:t xml:space="preserve">ssociate </w:t>
      </w:r>
      <w:r w:rsidRPr="00110237">
        <w:rPr>
          <w:rFonts w:eastAsia="Times New Roman" w:cs="Times New Roman"/>
          <w:color w:val="000000"/>
          <w:szCs w:val="24"/>
        </w:rPr>
        <w:t>Professor</w:t>
      </w:r>
    </w:p>
    <w:p w14:paraId="51B183D4" w14:textId="77777777"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Department of Civil and Environmental Engineering</w:t>
      </w:r>
    </w:p>
    <w:p w14:paraId="221B3F86" w14:textId="77777777"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University of Utah</w:t>
      </w:r>
    </w:p>
    <w:p w14:paraId="0A60B38D" w14:textId="77777777"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110 Central Campus Dr., Suite 2000</w:t>
      </w:r>
    </w:p>
    <w:p w14:paraId="3AD4E0B8" w14:textId="77777777"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Salt Lake City, UT 84112</w:t>
      </w:r>
    </w:p>
    <w:p w14:paraId="13BDCB0A" w14:textId="77777777" w:rsidR="00FF7347" w:rsidRPr="00110237" w:rsidRDefault="00FF7347" w:rsidP="00FF7347">
      <w:pPr>
        <w:spacing w:after="0"/>
        <w:rPr>
          <w:rFonts w:eastAsia="Times New Roman" w:cs="Times New Roman"/>
          <w:color w:val="000000"/>
          <w:szCs w:val="24"/>
        </w:rPr>
      </w:pPr>
      <w:r w:rsidRPr="00110237">
        <w:rPr>
          <w:rFonts w:eastAsia="Times New Roman" w:cs="Times New Roman"/>
          <w:color w:val="000000"/>
          <w:szCs w:val="24"/>
        </w:rPr>
        <w:t>Phone: (801) 587-8858</w:t>
      </w:r>
    </w:p>
    <w:p w14:paraId="7322EA17" w14:textId="2D7A7FA5" w:rsidR="00FF7347" w:rsidRPr="00534622" w:rsidRDefault="00FF7347" w:rsidP="00FF7347">
      <w:pPr>
        <w:spacing w:after="0"/>
        <w:rPr>
          <w:rStyle w:val="Hyperlink"/>
          <w:rFonts w:eastAsia="Times New Roman" w:cs="Times New Roman"/>
          <w:color w:val="auto"/>
          <w:szCs w:val="24"/>
          <w:u w:val="none"/>
        </w:rPr>
      </w:pPr>
      <w:r w:rsidRPr="00110237">
        <w:rPr>
          <w:rFonts w:eastAsia="Times New Roman" w:cs="Times New Roman"/>
          <w:color w:val="000000"/>
          <w:szCs w:val="24"/>
        </w:rPr>
        <w:t xml:space="preserve">Email: </w:t>
      </w:r>
      <w:r w:rsidRPr="00534622">
        <w:rPr>
          <w:rFonts w:eastAsia="Times New Roman" w:cs="Times New Roman"/>
          <w:szCs w:val="24"/>
        </w:rPr>
        <w:t>cathy.liu@utah.edu</w:t>
      </w:r>
    </w:p>
    <w:p w14:paraId="20790EA2" w14:textId="10D61317" w:rsidR="00FF7347" w:rsidRPr="00110237" w:rsidRDefault="00FF7347" w:rsidP="006C4819">
      <w:r>
        <w:t xml:space="preserve">ORCID: </w:t>
      </w:r>
      <w:r w:rsidRPr="00FF0E5A">
        <w:t>0000-0002-5162-891X</w:t>
      </w:r>
    </w:p>
    <w:p w14:paraId="5F333052" w14:textId="77777777" w:rsidR="00FF7347" w:rsidRPr="007A6340" w:rsidRDefault="00FF7347" w:rsidP="00FF7347">
      <w:pPr>
        <w:pStyle w:val="Heading1"/>
      </w:pPr>
      <w:r>
        <w:t>Research Needs</w:t>
      </w:r>
    </w:p>
    <w:p w14:paraId="49D1A0F7" w14:textId="77777777" w:rsidR="00FF7347" w:rsidRPr="00B97BFD" w:rsidRDefault="00FF7347" w:rsidP="007A0513">
      <w:pPr>
        <w:rPr>
          <w:rFonts w:cs="Times New Roman"/>
          <w:szCs w:val="24"/>
        </w:rPr>
      </w:pPr>
      <w:r w:rsidRPr="00B97BFD">
        <w:rPr>
          <w:rFonts w:cs="Times New Roman"/>
          <w:szCs w:val="24"/>
        </w:rPr>
        <w:t>T</w:t>
      </w:r>
      <w:r>
        <w:rPr>
          <w:rFonts w:cs="Times New Roman"/>
          <w:szCs w:val="24"/>
        </w:rPr>
        <w:t xml:space="preserve">he electric vehicle (EV) market </w:t>
      </w:r>
      <w:r>
        <w:rPr>
          <w:rFonts w:cs="Times New Roman" w:hint="eastAsia"/>
          <w:szCs w:val="24"/>
        </w:rPr>
        <w:t>h</w:t>
      </w:r>
      <w:r>
        <w:rPr>
          <w:rFonts w:cs="Times New Roman"/>
          <w:szCs w:val="24"/>
        </w:rPr>
        <w:t>as been</w:t>
      </w:r>
      <w:r w:rsidRPr="00B97BFD">
        <w:rPr>
          <w:rFonts w:cs="Times New Roman"/>
          <w:szCs w:val="24"/>
        </w:rPr>
        <w:t xml:space="preserve"> progressively growing in the past decade with promising sales </w:t>
      </w:r>
      <w:r>
        <w:rPr>
          <w:rFonts w:cs="Times New Roman"/>
          <w:szCs w:val="24"/>
        </w:rPr>
        <w:t xml:space="preserve">records in many countries </w:t>
      </w:r>
      <w:r>
        <w:rPr>
          <w:rFonts w:cs="Times New Roman"/>
          <w:szCs w:val="24"/>
        </w:rPr>
        <w:fldChar w:fldCharType="begin" w:fldLock="1"/>
      </w:r>
      <w:r>
        <w:rPr>
          <w:rFonts w:cs="Times New Roman"/>
          <w:szCs w:val="24"/>
        </w:rPr>
        <w:instrText>ADDIN CSL_CITATION {"citationItems":[{"id":"ITEM-1","itemData":{"author":[{"dropping-particle":"","family":"Paoli","given":"Leonardo","non-dropping-particle":"","parse-names":false,"suffix":""},{"dropping-particle":"","family":"Gül","given":"Timur","non-dropping-particle":"","parse-names":false,"suffix":""}],"id":"ITEM-1","issued":{"date-parts":[["2022"]]},"publisher":"IEA: International Energy Agency","title":"Electric cars fend off supply challenges to more than double global sales","type":"article-journal"},"uris":["http://www.mendeley.com/documents/?uuid=23d9c6dd-cd99-4dfb-91c4-d538f2c373c5"]}],"mendeley":{"formattedCitation":"(Paoli &amp; Gül, 2022)","plainTextFormattedCitation":"(Paoli &amp; Gül, 2022)","previouslyFormattedCitation":"(Paoli &amp; Gül, 2022)"},"properties":{"noteIndex":0},"schema":"https://github.com/citation-style-language/schema/raw/master/csl-citation.json"}</w:instrText>
      </w:r>
      <w:r>
        <w:rPr>
          <w:rFonts w:cs="Times New Roman"/>
          <w:szCs w:val="24"/>
        </w:rPr>
        <w:fldChar w:fldCharType="separate"/>
      </w:r>
      <w:r w:rsidRPr="00335123">
        <w:rPr>
          <w:rFonts w:cs="Times New Roman"/>
          <w:noProof/>
          <w:szCs w:val="24"/>
        </w:rPr>
        <w:t xml:space="preserve">(Paoli </w:t>
      </w:r>
      <w:r>
        <w:rPr>
          <w:rFonts w:cs="Times New Roman"/>
          <w:noProof/>
          <w:szCs w:val="24"/>
        </w:rPr>
        <w:t>and</w:t>
      </w:r>
      <w:r w:rsidRPr="00335123">
        <w:rPr>
          <w:rFonts w:cs="Times New Roman"/>
          <w:noProof/>
          <w:szCs w:val="24"/>
        </w:rPr>
        <w:t xml:space="preserve"> Gül, 2022)</w:t>
      </w:r>
      <w:r>
        <w:rPr>
          <w:rFonts w:cs="Times New Roman"/>
          <w:szCs w:val="24"/>
        </w:rPr>
        <w:fldChar w:fldCharType="end"/>
      </w:r>
      <w:r w:rsidRPr="00B97BFD">
        <w:rPr>
          <w:rFonts w:cs="Times New Roman"/>
          <w:szCs w:val="24"/>
        </w:rPr>
        <w:t xml:space="preserve">. </w:t>
      </w:r>
      <w:r>
        <w:rPr>
          <w:rFonts w:cs="Times New Roman"/>
          <w:szCs w:val="24"/>
        </w:rPr>
        <w:t>In the United States, for example, t</w:t>
      </w:r>
      <w:r w:rsidRPr="00B97BFD">
        <w:rPr>
          <w:rFonts w:cs="Times New Roman"/>
          <w:szCs w:val="24"/>
        </w:rPr>
        <w:t>he sales of EVs and plug-in hybrid electric vehicles (PHEVs) nearly doubled from 308,000 in 2020 to 608,000 in 202</w:t>
      </w:r>
      <w:r>
        <w:rPr>
          <w:rFonts w:cs="Times New Roman"/>
          <w:szCs w:val="24"/>
        </w:rPr>
        <w:t>1</w:t>
      </w:r>
      <w:r w:rsidRPr="00B97BFD">
        <w:rPr>
          <w:rFonts w:cs="Times New Roman"/>
          <w:szCs w:val="24"/>
        </w:rPr>
        <w:t xml:space="preserve">. In China, EV sales grew </w:t>
      </w:r>
      <w:r>
        <w:rPr>
          <w:rFonts w:cs="Times New Roman"/>
          <w:szCs w:val="24"/>
        </w:rPr>
        <w:t xml:space="preserve">by </w:t>
      </w:r>
      <w:r w:rsidRPr="00B97BFD">
        <w:rPr>
          <w:rFonts w:cs="Times New Roman"/>
          <w:szCs w:val="24"/>
        </w:rPr>
        <w:t xml:space="preserve">85% over the prior year in 2019, significantly above the industry average </w:t>
      </w:r>
      <w:r w:rsidRPr="00B97BFD">
        <w:rPr>
          <w:rFonts w:cs="Times New Roman"/>
          <w:szCs w:val="24"/>
        </w:rPr>
        <w:fldChar w:fldCharType="begin" w:fldLock="1"/>
      </w:r>
      <w:r w:rsidRPr="00B97BFD">
        <w:rPr>
          <w:rFonts w:cs="Times New Roman"/>
          <w:szCs w:val="24"/>
        </w:rPr>
        <w:instrText>ADDIN CSL_CITATION {"citationItems":[{"id":"ITEM-1","itemData":{"abstract":"The latest analysis of our Electric Vehicle Index shows the global electric-light-vehicle industry continues to make solid progress. To accelerate growth further, several hurdles need to be overcome.","author":[{"dropping-particle":"","family":"McKinsey","given":"","non-dropping-particle":"","parse-names":false,"suffix":""}],"container-title":"McKinsey &amp; Company","id":"ITEM-1","issue":"August","issued":{"date-parts":[["2019"]]},"title":"Expanding electric - vehicle adoption despite early growing pains","type":"article-journal"},"uris":["http://www.mendeley.com/documents/?uuid=ae91adcc-eaf0-4454-b876-032338494d13"]}],"mendeley":{"formattedCitation":"(McKinsey, 2019)","plainTextFormattedCitation":"(McKinsey, 2019)","previouslyFormattedCitation":"(McKinsey, 2019)"},"properties":{"noteIndex":0},"schema":"https://github.com/citation-style-language/schema/raw/master/csl-citation.json"}</w:instrText>
      </w:r>
      <w:r w:rsidRPr="00B97BFD">
        <w:rPr>
          <w:rFonts w:cs="Times New Roman"/>
          <w:szCs w:val="24"/>
        </w:rPr>
        <w:fldChar w:fldCharType="separate"/>
      </w:r>
      <w:r w:rsidRPr="00B97BFD">
        <w:rPr>
          <w:rFonts w:cs="Times New Roman"/>
          <w:noProof/>
          <w:szCs w:val="24"/>
        </w:rPr>
        <w:t>(McKinsey, 2019)</w:t>
      </w:r>
      <w:r w:rsidRPr="00B97BFD">
        <w:rPr>
          <w:rFonts w:cs="Times New Roman"/>
          <w:szCs w:val="24"/>
        </w:rPr>
        <w:fldChar w:fldCharType="end"/>
      </w:r>
      <w:r w:rsidRPr="00B97BFD">
        <w:rPr>
          <w:rFonts w:cs="Times New Roman"/>
          <w:szCs w:val="24"/>
        </w:rPr>
        <w:t xml:space="preserve">. Such </w:t>
      </w:r>
      <w:r>
        <w:rPr>
          <w:rFonts w:cs="Times New Roman"/>
          <w:szCs w:val="24"/>
        </w:rPr>
        <w:t>significant</w:t>
      </w:r>
      <w:r w:rsidRPr="00B97BFD">
        <w:rPr>
          <w:rFonts w:cs="Times New Roman"/>
          <w:szCs w:val="24"/>
        </w:rPr>
        <w:t xml:space="preserve"> </w:t>
      </w:r>
      <w:r>
        <w:rPr>
          <w:rFonts w:cs="Times New Roman"/>
          <w:szCs w:val="24"/>
        </w:rPr>
        <w:t>rise in</w:t>
      </w:r>
      <w:r w:rsidRPr="00B97BFD">
        <w:rPr>
          <w:rFonts w:cs="Times New Roman"/>
          <w:szCs w:val="24"/>
        </w:rPr>
        <w:t xml:space="preserve"> EV adoption</w:t>
      </w:r>
      <w:r>
        <w:rPr>
          <w:rFonts w:cs="Times New Roman"/>
          <w:szCs w:val="24"/>
        </w:rPr>
        <w:t xml:space="preserve"> rate</w:t>
      </w:r>
      <w:r w:rsidRPr="00B97BFD">
        <w:rPr>
          <w:rFonts w:cs="Times New Roman"/>
          <w:szCs w:val="24"/>
        </w:rPr>
        <w:t xml:space="preserve"> is attributable to policy incentives, </w:t>
      </w:r>
      <w:r>
        <w:rPr>
          <w:rFonts w:cs="Times New Roman"/>
          <w:szCs w:val="24"/>
        </w:rPr>
        <w:t xml:space="preserve">technological advancement, promotion of carbon neutral and net-zero emissions economy, </w:t>
      </w:r>
      <w:proofErr w:type="gramStart"/>
      <w:r>
        <w:rPr>
          <w:rFonts w:cs="Times New Roman"/>
          <w:szCs w:val="24"/>
        </w:rPr>
        <w:t>etc.</w:t>
      </w:r>
      <w:proofErr w:type="gramEnd"/>
      <w:r w:rsidRPr="00B97BFD">
        <w:rPr>
          <w:rFonts w:cs="Times New Roman"/>
          <w:szCs w:val="24"/>
        </w:rPr>
        <w:t xml:space="preserve"> The </w:t>
      </w:r>
      <w:r>
        <w:rPr>
          <w:rFonts w:cs="Times New Roman"/>
          <w:szCs w:val="24"/>
        </w:rPr>
        <w:t>ever-</w:t>
      </w:r>
      <w:r w:rsidRPr="00B97BFD">
        <w:rPr>
          <w:rFonts w:cs="Times New Roman"/>
          <w:szCs w:val="24"/>
        </w:rPr>
        <w:t>increasing EV adoption is beneficial to reducing greenhouse gas (GHG) emission</w:t>
      </w:r>
      <w:r>
        <w:rPr>
          <w:rFonts w:cs="Times New Roman"/>
          <w:szCs w:val="24"/>
        </w:rPr>
        <w:t>s</w:t>
      </w:r>
      <w:r w:rsidRPr="00B97BFD">
        <w:rPr>
          <w:rFonts w:cs="Times New Roman"/>
          <w:szCs w:val="24"/>
        </w:rPr>
        <w:t xml:space="preserve">, supporting the sustainable transport system, and decreasing the reliance on fossil fuels </w:t>
      </w:r>
      <w:r w:rsidRPr="00B97BFD">
        <w:rPr>
          <w:rFonts w:cs="Times New Roman"/>
          <w:szCs w:val="24"/>
        </w:rPr>
        <w:fldChar w:fldCharType="begin" w:fldLock="1"/>
      </w:r>
      <w:r>
        <w:rPr>
          <w:rFonts w:cs="Times New Roman"/>
          <w:szCs w:val="24"/>
        </w:rPr>
        <w:instrText>ADDIN CSL_CITATION {"citationItems":[{"id":"ITEM-1","itemData":{"DOI":"10.1016/j.jclepro.2016.02.055","ISSN":"09596526","abstract":"Electric vehicles seem to offer a great potential for sustainable transport development. The Swedish pioneer project GreenCharge Southeast is designed as a cooperative action research approach that aims to explore a roadmap for a fossil-free transport system by 2030 with a focus on electric vehicles. In the first paper of this tandem publication, the authors propose a new generic process model embedding the Framework of Strategic Sustainable Development. The purpose of applying it in an action-research mode as described in this paper was twofold: (i) to develop a vision for sustainable regional transport and a coarse roadmap towards that vision, and, while doing so, (ii) get additional empirical experiences to inform the development of the new generic process model. Experts from many sectors and organizations involved in the GreenCharge project provided vital information and reviewed all planning perspectives presented in Paper 1 in two sequential multi-stakeholder seminars. The results include a sustainable vision for electric vehicle systems in southeast Sweden within a sustainable regional transport system within a sustainable global society, as well as an initial development plan towards such a vision for the transport sector. The vision is framed by the universal sustainability principles, and the development plan is informed by the strategic guidelines, of the above-mentioned framework. Among other things, the vision and plan imply a shift to renewable energy and a more optimized use of areas and thus a new type of spatial planning. For example, the vision and plan implies a lower built-in demand for transport, more integrated traffic modes, and more multi-functional use of areas for energy and transport infrastructures, for example. Some inherent benefits of electric vehicles are highlighted in the vision and plan, including near-zero local emissions and flexibility as regards primary energy sources. The vision and plan also imply improved governance for more effective cross-sector collaboration to ensure coordinated development within the transport sector and between the transportation sector and other relevant sectors. Meanwhile, the new generic process model was refined and is ready to be applied and further tested in the GreenCharge project and in other projects within the transport sector as well as other sectors. The study confirmed that the new generic process model suggested in support of sustainable transport system and community develop…","author":[{"dropping-particle":"","family":"Borén","given":"Sven","non-dropping-particle":"","parse-names":false,"suffix":""},{"dropping-particle":"","family":"Nurhadi","given":"Lisiana","non-dropping-particle":"","parse-names":false,"suffix":""},{"dropping-particle":"","family":"Ny","given":"Henrik","non-dropping-particle":"","parse-names":false,"suffix":""},{"dropping-particle":"","family":"Robèrt","given":"Karl Henrik","non-dropping-particle":"","parse-names":false,"suffix":""},{"dropping-particle":"","family":"Broman","given":"Göran","non-dropping-particle":"","parse-names":false,"suffix":""},{"dropping-particle":"","family":"Trygg","given":"Louise","non-dropping-particle":"","parse-names":false,"suffix":""}],"container-title":"Journal of Cleaner Production","id":"ITEM-1","issued":{"date-parts":[["2017"]]},"page":"62-71","title":"A strategic approach to sustainable transport system development - Part 2: the case of a vision for electric vehicle systems in southeast Sweden","type":"article-journal","volume":"140"},"uris":["http://www.mendeley.com/documents/?uuid=8123dba7-a315-4766-b999-e7ddb8201aa4"]}],"mendeley":{"formattedCitation":"(Borén et al., 2017)","plainTextFormattedCitation":"(Borén et al., 2017)","previouslyFormattedCitation":"(Borén et al., 2017)"},"properties":{"noteIndex":0},"schema":"https://github.com/citation-style-language/schema/raw/master/csl-citation.json"}</w:instrText>
      </w:r>
      <w:r w:rsidRPr="00B97BFD">
        <w:rPr>
          <w:rFonts w:cs="Times New Roman"/>
          <w:szCs w:val="24"/>
        </w:rPr>
        <w:fldChar w:fldCharType="separate"/>
      </w:r>
      <w:r w:rsidRPr="00335123">
        <w:rPr>
          <w:rFonts w:cs="Times New Roman"/>
          <w:noProof/>
          <w:szCs w:val="24"/>
        </w:rPr>
        <w:t>(Borén et al., 2017)</w:t>
      </w:r>
      <w:r w:rsidRPr="00B97BFD">
        <w:rPr>
          <w:rFonts w:cs="Times New Roman"/>
          <w:szCs w:val="24"/>
        </w:rPr>
        <w:fldChar w:fldCharType="end"/>
      </w:r>
      <w:r w:rsidRPr="00B97BFD">
        <w:rPr>
          <w:rFonts w:cs="Times New Roman"/>
          <w:szCs w:val="24"/>
        </w:rPr>
        <w:t>. As the booming of EVs creates positive impact</w:t>
      </w:r>
      <w:r>
        <w:rPr>
          <w:rFonts w:cs="Times New Roman"/>
          <w:szCs w:val="24"/>
        </w:rPr>
        <w:t>s in multiple</w:t>
      </w:r>
      <w:r w:rsidRPr="00B97BFD">
        <w:rPr>
          <w:rFonts w:cs="Times New Roman"/>
          <w:szCs w:val="24"/>
        </w:rPr>
        <w:t xml:space="preserve"> areas, it brings challenges</w:t>
      </w:r>
      <w:r>
        <w:rPr>
          <w:rFonts w:cs="Times New Roman"/>
          <w:szCs w:val="24"/>
        </w:rPr>
        <w:t xml:space="preserve"> to the entire</w:t>
      </w:r>
      <w:r w:rsidRPr="00B97BFD">
        <w:rPr>
          <w:rFonts w:cs="Times New Roman"/>
          <w:szCs w:val="24"/>
        </w:rPr>
        <w:t xml:space="preserve"> society as well.</w:t>
      </w:r>
    </w:p>
    <w:p w14:paraId="7C73F3D2" w14:textId="6129A4DE" w:rsidR="00FF7347" w:rsidRPr="008A4EBA" w:rsidRDefault="00FF7347" w:rsidP="007A0513">
      <w:pPr>
        <w:rPr>
          <w:rFonts w:cs="Times New Roman"/>
          <w:szCs w:val="24"/>
        </w:rPr>
      </w:pPr>
      <w:r w:rsidRPr="00B97BFD">
        <w:rPr>
          <w:rFonts w:cs="Times New Roman"/>
          <w:szCs w:val="24"/>
        </w:rPr>
        <w:t xml:space="preserve">Among those challenges, the </w:t>
      </w:r>
      <w:r>
        <w:rPr>
          <w:rFonts w:cs="Times New Roman"/>
          <w:szCs w:val="24"/>
        </w:rPr>
        <w:t>surge</w:t>
      </w:r>
      <w:r w:rsidRPr="00B97BFD">
        <w:rPr>
          <w:rFonts w:cs="Times New Roman"/>
          <w:szCs w:val="24"/>
        </w:rPr>
        <w:t xml:space="preserve"> of EV charging demand in response to the fast EV adoption could potential</w:t>
      </w:r>
      <w:r>
        <w:rPr>
          <w:rFonts w:cs="Times New Roman"/>
          <w:szCs w:val="24"/>
        </w:rPr>
        <w:t>ly overload the</w:t>
      </w:r>
      <w:r w:rsidRPr="00B97BFD">
        <w:rPr>
          <w:rFonts w:cs="Times New Roman"/>
          <w:szCs w:val="24"/>
        </w:rPr>
        <w:t xml:space="preserve"> power grid and</w:t>
      </w:r>
      <w:r>
        <w:rPr>
          <w:rFonts w:cs="Times New Roman"/>
          <w:szCs w:val="24"/>
        </w:rPr>
        <w:t xml:space="preserve"> affect infrastructure planning</w:t>
      </w:r>
      <w:r w:rsidRPr="00B97BFD">
        <w:rPr>
          <w:rFonts w:cs="Times New Roman"/>
          <w:szCs w:val="24"/>
        </w:rPr>
        <w:t xml:space="preserve">. EV charging can </w:t>
      </w:r>
      <w:proofErr w:type="gramStart"/>
      <w:r w:rsidRPr="00B97BFD">
        <w:rPr>
          <w:rFonts w:cs="Times New Roman"/>
          <w:szCs w:val="24"/>
        </w:rPr>
        <w:t>be divided</w:t>
      </w:r>
      <w:proofErr w:type="gramEnd"/>
      <w:r w:rsidRPr="00B97BFD">
        <w:rPr>
          <w:rFonts w:cs="Times New Roman"/>
          <w:szCs w:val="24"/>
        </w:rPr>
        <w:t xml:space="preserve"> into home charging and public charging </w:t>
      </w:r>
      <w:r>
        <w:rPr>
          <w:rFonts w:cs="Times New Roman"/>
          <w:szCs w:val="24"/>
        </w:rPr>
        <w:t>depending</w:t>
      </w:r>
      <w:r w:rsidRPr="00B97BFD">
        <w:rPr>
          <w:rFonts w:cs="Times New Roman"/>
          <w:szCs w:val="24"/>
        </w:rPr>
        <w:t xml:space="preserve"> on charging locations. In </w:t>
      </w:r>
      <w:r>
        <w:rPr>
          <w:rFonts w:cs="Times New Roman"/>
          <w:szCs w:val="24"/>
        </w:rPr>
        <w:t xml:space="preserve">the </w:t>
      </w:r>
      <w:r w:rsidRPr="00B97BFD">
        <w:rPr>
          <w:rFonts w:cs="Times New Roman"/>
          <w:szCs w:val="24"/>
        </w:rPr>
        <w:t xml:space="preserve">United States, home charging is still the dominant charging mode, accounting </w:t>
      </w:r>
      <w:r>
        <w:rPr>
          <w:rFonts w:cs="Times New Roman"/>
          <w:szCs w:val="24"/>
        </w:rPr>
        <w:t xml:space="preserve">for </w:t>
      </w:r>
      <w:r w:rsidRPr="00B97BFD">
        <w:rPr>
          <w:rFonts w:cs="Times New Roman"/>
          <w:szCs w:val="24"/>
        </w:rPr>
        <w:t xml:space="preserve">approximately 80% of all charging events </w:t>
      </w:r>
      <w:r w:rsidRPr="00B97BFD">
        <w:rPr>
          <w:rFonts w:cs="Times New Roman"/>
          <w:szCs w:val="24"/>
        </w:rPr>
        <w:fldChar w:fldCharType="begin" w:fldLock="1"/>
      </w:r>
      <w:r>
        <w:rPr>
          <w:rFonts w:cs="Times New Roman"/>
          <w:szCs w:val="24"/>
        </w:rPr>
        <w:instrText>ADDIN CSL_CITATION {"citationItems":[{"id":"ITEM-1","itemData":{"DOI":"10.4271/2012-01-0199","ISBN":"2012010199","ISSN":"26883627","abstract":"In 2010, a large-scale plug-in electric vehicle (PEV) infrastructure demonstration was launched to deploy an unprecedented number of PEVs and charging infrastructure. This demonstration, called The EV Project, is funded by the U.S. Department of Energy and led by ECOtality North America. ECOtality has partnered with Nissan North America and General Motors to deploy up to 8,300 Nissan LEAF™ battery electric vehicles and Chevrolet Volt extended-range electric vehicles, along with approximately 14,000 AC Level 2 and DC fast-charging units in 18 metropolitan areas across the United States. ECOtality and the Idaho National Laboratory partnered to collect and analyze electronic data from EV Project vehicles and charging units. An early analysis of data from Nissan LEAFs enrolled in The EV Project was performed. The data set analyzed came from 2,903 privately owned vehicles, which logged over 10 million driving miles in 2011. On average, Nissan LEAF drivers drove 6.9 miles per trip and 30.3 miles per day. Median values were 4.0 and 26.8 miles, respectively. In environments without many public charging locations, LEAF drivers averaged 28.8 miles between consecutive charging events, with a median of 27.1miles. The average and median number of times vehicles were charged per day driven were 1.05 and 0.99 charging events per day, respectively. Analysis of charging location determined that 82% of charging events were conducted at the project participants' homes using their residential electric vehicle supply equipment. 18% of charging events were performed elsewhere. Despite the relatively low numbers of publicly available charging units, over 70% of vehicles were charged away from home. Most of those vehicles charged at many distinct locations, such as shopping centers, health clubs, restaurants, and business offices. Some of the most frequently and infrequently charged vehicles were charged exclusively at home or in public, but most supplemented home charging with away-from-home charging.","author":[{"dropping-particle":"","family":"Smart","given":"John","non-dropping-particle":"","parse-names":false,"suffix":""},{"dropping-particle":"","family":"Schey","given":"Stephen","non-dropping-particle":"","parse-names":false,"suffix":""}],"container-title":"SAE Technical Papers","id":"ITEM-1","issue":"1","issued":{"date-parts":[["2012"]]},"page":"27-33","title":"Battery electric vehicle driving and charging behavior observed early in the EV project","type":"article-journal","volume":"1"},"uris":["http://www.mendeley.com/documents/?uuid=7785336c-51c3-41dc-b17e-21d18c5aa5cc"]}],"mendeley":{"formattedCitation":"(Smart &amp; Schey, 2012)","plainTextFormattedCitation":"(Smart &amp; Schey, 2012)","previouslyFormattedCitation":"(Smart &amp; Schey, 2012)"},"properties":{"noteIndex":0},"schema":"https://github.com/citation-style-language/schema/raw/master/csl-citation.json"}</w:instrText>
      </w:r>
      <w:r w:rsidRPr="00B97BFD">
        <w:rPr>
          <w:rFonts w:cs="Times New Roman"/>
          <w:szCs w:val="24"/>
        </w:rPr>
        <w:fldChar w:fldCharType="separate"/>
      </w:r>
      <w:r w:rsidRPr="00335123">
        <w:rPr>
          <w:rFonts w:cs="Times New Roman"/>
          <w:noProof/>
          <w:szCs w:val="24"/>
        </w:rPr>
        <w:t xml:space="preserve">(Smart </w:t>
      </w:r>
      <w:r>
        <w:rPr>
          <w:rFonts w:cs="Times New Roman"/>
          <w:noProof/>
          <w:szCs w:val="24"/>
        </w:rPr>
        <w:t>and</w:t>
      </w:r>
      <w:r w:rsidRPr="00335123">
        <w:rPr>
          <w:rFonts w:cs="Times New Roman"/>
          <w:noProof/>
          <w:szCs w:val="24"/>
        </w:rPr>
        <w:t xml:space="preserve"> Schey, 2012)</w:t>
      </w:r>
      <w:r w:rsidRPr="00B97BFD">
        <w:rPr>
          <w:rFonts w:cs="Times New Roman"/>
          <w:szCs w:val="24"/>
        </w:rPr>
        <w:fldChar w:fldCharType="end"/>
      </w:r>
      <w:r w:rsidRPr="00B97BFD">
        <w:rPr>
          <w:rFonts w:cs="Times New Roman"/>
          <w:szCs w:val="24"/>
        </w:rPr>
        <w:t>. However, public charg</w:t>
      </w:r>
      <w:r>
        <w:rPr>
          <w:rFonts w:cs="Times New Roman"/>
          <w:szCs w:val="24"/>
        </w:rPr>
        <w:t>ing plays an indispensable role</w:t>
      </w:r>
      <w:r w:rsidRPr="00B97BFD">
        <w:rPr>
          <w:rFonts w:cs="Times New Roman"/>
          <w:szCs w:val="24"/>
        </w:rPr>
        <w:t xml:space="preserve"> under </w:t>
      </w:r>
      <w:proofErr w:type="gramStart"/>
      <w:r w:rsidRPr="00B97BFD">
        <w:rPr>
          <w:rFonts w:cs="Times New Roman"/>
          <w:szCs w:val="24"/>
        </w:rPr>
        <w:t>several</w:t>
      </w:r>
      <w:proofErr w:type="gramEnd"/>
      <w:r w:rsidRPr="00B97BFD">
        <w:rPr>
          <w:rFonts w:cs="Times New Roman"/>
          <w:szCs w:val="24"/>
        </w:rPr>
        <w:t xml:space="preserve"> circumstances. First, drivers that often perform long-distance trips would heavily rely on public charging due to</w:t>
      </w:r>
      <w:r>
        <w:rPr>
          <w:rFonts w:cs="Times New Roman"/>
          <w:szCs w:val="24"/>
        </w:rPr>
        <w:t xml:space="preserve"> the</w:t>
      </w:r>
      <w:r w:rsidRPr="00B97BFD">
        <w:rPr>
          <w:rFonts w:cs="Times New Roman"/>
          <w:szCs w:val="24"/>
        </w:rPr>
        <w:t xml:space="preserve"> limited mileage range of EVs. Second, home charging requires th</w:t>
      </w:r>
      <w:r>
        <w:rPr>
          <w:rFonts w:cs="Times New Roman"/>
          <w:szCs w:val="24"/>
        </w:rPr>
        <w:t xml:space="preserve">e charging facilities to </w:t>
      </w:r>
      <w:proofErr w:type="gramStart"/>
      <w:r>
        <w:rPr>
          <w:rFonts w:cs="Times New Roman"/>
          <w:szCs w:val="24"/>
        </w:rPr>
        <w:t>be installed</w:t>
      </w:r>
      <w:proofErr w:type="gramEnd"/>
      <w:r w:rsidRPr="00B97BFD">
        <w:rPr>
          <w:rFonts w:cs="Times New Roman"/>
          <w:szCs w:val="24"/>
        </w:rPr>
        <w:t xml:space="preserve"> at home garage. Yet </w:t>
      </w:r>
      <w:proofErr w:type="gramStart"/>
      <w:r>
        <w:rPr>
          <w:rFonts w:cs="Times New Roman"/>
          <w:szCs w:val="24"/>
        </w:rPr>
        <w:t>many</w:t>
      </w:r>
      <w:proofErr w:type="gramEnd"/>
      <w:r>
        <w:rPr>
          <w:rFonts w:cs="Times New Roman"/>
          <w:szCs w:val="24"/>
        </w:rPr>
        <w:t xml:space="preserve"> </w:t>
      </w:r>
      <w:r w:rsidRPr="00B97BFD">
        <w:rPr>
          <w:rFonts w:cs="Times New Roman"/>
          <w:szCs w:val="24"/>
        </w:rPr>
        <w:t xml:space="preserve">existing EV drivers or potential EV buyers </w:t>
      </w:r>
      <w:r>
        <w:rPr>
          <w:rFonts w:cs="Times New Roman"/>
          <w:szCs w:val="24"/>
        </w:rPr>
        <w:t xml:space="preserve">may live in housing units that have no access to a garage or carport. </w:t>
      </w:r>
      <w:r w:rsidRPr="00B97BFD">
        <w:rPr>
          <w:rFonts w:cs="Times New Roman"/>
          <w:szCs w:val="24"/>
        </w:rPr>
        <w:t xml:space="preserve">For instance, Ou et </w:t>
      </w:r>
      <w:r>
        <w:rPr>
          <w:rFonts w:cs="Times New Roman"/>
          <w:szCs w:val="24"/>
        </w:rPr>
        <w:t>al.</w:t>
      </w:r>
      <w:r w:rsidRPr="00B97BFD">
        <w:rPr>
          <w:rFonts w:cs="Times New Roman"/>
          <w:szCs w:val="24"/>
        </w:rPr>
        <w:t xml:space="preserve"> </w:t>
      </w:r>
      <w:r w:rsidRPr="00B97BFD">
        <w:rPr>
          <w:rFonts w:cs="Times New Roman"/>
          <w:szCs w:val="24"/>
        </w:rPr>
        <w:fldChar w:fldCharType="begin" w:fldLock="1"/>
      </w:r>
      <w:r>
        <w:rPr>
          <w:rFonts w:cs="Times New Roman"/>
          <w:szCs w:val="24"/>
        </w:rPr>
        <w:instrText>ADDIN CSL_CITATION {"citationItems":[{"id":"ITEM-1","itemData":{"DOI":"10.1016/j.tranpol.2018.04.014","ISSN":"1879310X","abstract":"China has become the world's largest plug-in electric vehicle (PEV) market. One major barrier to greater consumer acceptance of PEVs is the lack of home parking spaces for charging outlets. This study developed a methodology to estimate the residential parking ratios (parking spaces vs household numbers) and project the residential community-weighted parking availabilities (home parking availabilities) in China, by area and by province, through data mining from several major real estate trading network platforms. The results show that the home parking availabilities from 2015 to 2050 vary by geographic areas and building life expectancy. A method was developed to quantify the shadow values of home parking impacting on PEV ownership costs and combined with Monte Carlo simulation to address estimation uncertainty. Depending on the PEV type and all-electric range, the value of home parking space to a PEV owner, measured by the reduced vehicle ownership cost, ranges from $2399 USD to $10,802 USD. The total incremental shadow value, relative to the 2015 situation, of the home parking availability for PEV owners increases over time due to both improvement in home parking availability and increase in the PEV population, and is estimated to reach over $2.51 billion USD by 2025 (U.S. dollars in 2015 level).","author":[{"dropping-particle":"","family":"Ou","given":"Shiqi","non-dropping-particle":"","parse-names":false,"suffix":""},{"dropping-particle":"","family":"Lin","given":"Zhenhong","non-dropping-particle":"","parse-names":false,"suffix":""},{"dropping-particle":"","family":"He","given":"Xin","non-dropping-particle":"","parse-names":false,"suffix":""},{"dropping-particle":"","family":"Przesmitzki","given":"Steven","non-dropping-particle":"","parse-names":false,"suffix":""}],"container-title":"Transport Policy","id":"ITEM-1","issue":"April","issued":{"date-parts":[["2018"]]},"page":"107-117","publisher":"Elsevier Ltd","title":"Estimation of vehicle home parking availability in China and quantification of its potential impacts on plug-in electric vehicle ownership cost","type":"article-journal","volume":"68"},"uris":["http://www.mendeley.com/documents/?uuid=f5fee2d7-d477-4692-bbd0-b66102dc0e76"]}],"mendeley":{"formattedCitation":"(Ou et al., 2018)","manualFormatting":"(2018)","plainTextFormattedCitation":"(Ou et al., 2018)","previouslyFormattedCitation":"(Ou et al., 2018)"},"properties":{"noteIndex":0},"schema":"https://github.com/citation-style-language/schema/raw/master/csl-citation.json"}</w:instrText>
      </w:r>
      <w:r w:rsidRPr="00B97BFD">
        <w:rPr>
          <w:rFonts w:cs="Times New Roman"/>
          <w:szCs w:val="24"/>
        </w:rPr>
        <w:fldChar w:fldCharType="separate"/>
      </w:r>
      <w:r w:rsidRPr="00B97BFD">
        <w:rPr>
          <w:rFonts w:cs="Times New Roman"/>
          <w:noProof/>
          <w:szCs w:val="24"/>
        </w:rPr>
        <w:t>(2018)</w:t>
      </w:r>
      <w:r w:rsidRPr="00B97BFD">
        <w:rPr>
          <w:rFonts w:cs="Times New Roman"/>
          <w:szCs w:val="24"/>
        </w:rPr>
        <w:fldChar w:fldCharType="end"/>
      </w:r>
      <w:r w:rsidRPr="00B97BFD">
        <w:rPr>
          <w:rFonts w:cs="Times New Roman"/>
          <w:szCs w:val="24"/>
        </w:rPr>
        <w:t xml:space="preserve"> </w:t>
      </w:r>
      <w:r>
        <w:rPr>
          <w:rFonts w:cs="Times New Roman"/>
          <w:szCs w:val="24"/>
        </w:rPr>
        <w:t>evaluated</w:t>
      </w:r>
      <w:r w:rsidRPr="00B97BFD">
        <w:rPr>
          <w:rFonts w:cs="Times New Roman"/>
          <w:szCs w:val="24"/>
        </w:rPr>
        <w:t xml:space="preserve"> that the home parking av</w:t>
      </w:r>
      <w:r>
        <w:rPr>
          <w:rFonts w:cs="Times New Roman"/>
          <w:szCs w:val="24"/>
        </w:rPr>
        <w:t>ailability in Shanghai, China was</w:t>
      </w:r>
      <w:r w:rsidRPr="00B97BFD">
        <w:rPr>
          <w:rFonts w:cs="Times New Roman"/>
          <w:szCs w:val="24"/>
        </w:rPr>
        <w:t xml:space="preserve"> merely 5.3% in 2005. Therefore, </w:t>
      </w:r>
      <w:r>
        <w:rPr>
          <w:rFonts w:cs="Times New Roman"/>
          <w:szCs w:val="24"/>
        </w:rPr>
        <w:t>augmenting the</w:t>
      </w:r>
      <w:r w:rsidRPr="00B97BFD">
        <w:rPr>
          <w:rFonts w:cs="Times New Roman"/>
          <w:szCs w:val="24"/>
        </w:rPr>
        <w:t xml:space="preserve"> network coverage of public charging </w:t>
      </w:r>
      <w:r>
        <w:rPr>
          <w:rFonts w:cs="Times New Roman"/>
          <w:szCs w:val="24"/>
        </w:rPr>
        <w:t xml:space="preserve">infrastructures </w:t>
      </w:r>
      <w:r w:rsidRPr="00B97BFD">
        <w:rPr>
          <w:rFonts w:cs="Times New Roman"/>
          <w:szCs w:val="24"/>
        </w:rPr>
        <w:t>can effectively elimina</w:t>
      </w:r>
      <w:r>
        <w:rPr>
          <w:rFonts w:cs="Times New Roman"/>
          <w:szCs w:val="24"/>
        </w:rPr>
        <w:t>te the resistance to</w:t>
      </w:r>
      <w:r w:rsidRPr="00B97BFD">
        <w:rPr>
          <w:rFonts w:cs="Times New Roman"/>
          <w:szCs w:val="24"/>
        </w:rPr>
        <w:t xml:space="preserve"> EV purchase. Last but</w:t>
      </w:r>
      <w:r>
        <w:rPr>
          <w:rFonts w:cs="Times New Roman"/>
          <w:szCs w:val="24"/>
        </w:rPr>
        <w:t xml:space="preserve"> not least, the </w:t>
      </w:r>
      <w:r>
        <w:rPr>
          <w:rFonts w:cs="Times New Roman"/>
          <w:szCs w:val="24"/>
        </w:rPr>
        <w:lastRenderedPageBreak/>
        <w:t>concept of taxi</w:t>
      </w:r>
      <w:r w:rsidRPr="00B97BFD">
        <w:rPr>
          <w:rFonts w:cs="Times New Roman"/>
          <w:szCs w:val="24"/>
        </w:rPr>
        <w:t xml:space="preserve"> e</w:t>
      </w:r>
      <w:r>
        <w:rPr>
          <w:rFonts w:cs="Times New Roman"/>
          <w:szCs w:val="24"/>
        </w:rPr>
        <w:t>lectrification has been widely expanded</w:t>
      </w:r>
      <w:r w:rsidRPr="00B97BFD">
        <w:rPr>
          <w:rFonts w:cs="Times New Roman"/>
          <w:szCs w:val="24"/>
        </w:rPr>
        <w:t xml:space="preserve"> in recent years as electric taxi pilot</w:t>
      </w:r>
      <w:r>
        <w:rPr>
          <w:rFonts w:cs="Times New Roman"/>
          <w:szCs w:val="24"/>
        </w:rPr>
        <w:t>s</w:t>
      </w:r>
      <w:r w:rsidRPr="00B97BFD">
        <w:rPr>
          <w:rFonts w:cs="Times New Roman"/>
          <w:szCs w:val="24"/>
        </w:rPr>
        <w:t xml:space="preserve"> have already been </w:t>
      </w:r>
      <w:r>
        <w:rPr>
          <w:rFonts w:cs="Times New Roman"/>
          <w:szCs w:val="24"/>
        </w:rPr>
        <w:t>launched</w:t>
      </w:r>
      <w:r w:rsidRPr="00B97BFD">
        <w:rPr>
          <w:rFonts w:cs="Times New Roman"/>
          <w:szCs w:val="24"/>
        </w:rPr>
        <w:t xml:space="preserve"> in </w:t>
      </w:r>
      <w:r>
        <w:rPr>
          <w:rFonts w:cs="Times New Roman"/>
          <w:szCs w:val="24"/>
        </w:rPr>
        <w:t>several</w:t>
      </w:r>
      <w:r w:rsidRPr="00B97BFD">
        <w:rPr>
          <w:rFonts w:cs="Times New Roman"/>
          <w:szCs w:val="24"/>
        </w:rPr>
        <w:t xml:space="preserve"> cities such as New York City</w:t>
      </w:r>
      <w:r>
        <w:rPr>
          <w:rFonts w:cs="Times New Roman"/>
          <w:szCs w:val="24"/>
        </w:rPr>
        <w:t xml:space="preserve"> in the U.S.</w:t>
      </w:r>
      <w:r w:rsidRPr="00B97BFD" w:rsidDel="005D133B">
        <w:rPr>
          <w:rFonts w:cs="Times New Roman"/>
          <w:szCs w:val="24"/>
        </w:rPr>
        <w:t xml:space="preserve"> </w:t>
      </w:r>
      <w:r w:rsidRPr="00B97BFD">
        <w:rPr>
          <w:rFonts w:cs="Times New Roman"/>
          <w:szCs w:val="24"/>
        </w:rPr>
        <w:t xml:space="preserve">, and Shenzhen, China </w:t>
      </w:r>
      <w:r w:rsidRPr="00B97BFD">
        <w:rPr>
          <w:rFonts w:cs="Times New Roman"/>
          <w:szCs w:val="24"/>
        </w:rPr>
        <w:fldChar w:fldCharType="begin" w:fldLock="1"/>
      </w:r>
      <w:r>
        <w:rPr>
          <w:rFonts w:cs="Times New Roman"/>
          <w:szCs w:val="24"/>
        </w:rPr>
        <w:instrText>ADDIN CSL_CITATION {"citationItems":[{"id":"ITEM-1","itemData":{"DOI":"10.1016/j.enpol.2017.12.030","ISSN":"03014215","abstract":"This paper presents an optimization framework to determine the government incentive schemes to promote battery electric vehicle (BEV) taxis. The impacts of drivers’ operating behaviors, charger network coverage, BEV range, vehicle costs, and energy prices are taken into account. A two-stage optimization model is proposed, which describes the interplay between the government subsidy scheme and taxi drivers’ acceptance of BEVs. To quantify drivers’ acceptance, a data-driven microsimulation model is used to simulate driving and charging activities based on GPS trajectory data collected from conventional gasoline taxis in Changsha, China. The optimal government subsidy scheme is solved using the genetic algorithm. The key findings include: (1) detour for charging is inevitable for BEV taxis and would cause significant disruption in operational activities, especially for small-range BEVs (e.g. 150 km). (2) Subsidizing on vehicle purchase is necessary, and the subsidy intensity is expected to maintain at the current level to achieve an electrification goal of more than 50%. The government should provide financial support for public charging exclusive of vehicle purchase. (3) Different taxi drivers might prefer different BEV ranges, thereby they should be allowed to select from diversified BEV models, instead of deploying a single vehicle model for the entire taxi fleet.","author":[{"dropping-particle":"","family":"Yang","given":"Jie","non-dropping-particle":"","parse-names":false,"suffix":""},{"dropping-particle":"","family":"Dong","given":"Jing","non-dropping-particle":"","parse-names":false,"suffix":""},{"dropping-particle":"","family":"Hu","given":"Liang","non-dropping-particle":"","parse-names":false,"suffix":""}],"container-title":"Energy Policy","id":"ITEM-1","issue":"2","issued":{"date-parts":[["2018"]]},"page":"1-11","publisher":"Elsevier Ltd","title":"Design government incentive schemes for promoting electric taxis in China","type":"article-journal","volume":"115"},"uris":["http://www.mendeley.com/documents/?uuid=a341569c-c38a-4ba3-9dbd-d8f225c025d4"]}],"mendeley":{"formattedCitation":"(Yang et al., 2018)","plainTextFormattedCitation":"(Yang et al., 2018)","previouslyFormattedCitation":"(Yang et al., 2018)"},"properties":{"noteIndex":0},"schema":"https://github.com/citation-style-language/schema/raw/master/csl-citation.json"}</w:instrText>
      </w:r>
      <w:r w:rsidRPr="00B97BFD">
        <w:rPr>
          <w:rFonts w:cs="Times New Roman"/>
          <w:szCs w:val="24"/>
        </w:rPr>
        <w:fldChar w:fldCharType="separate"/>
      </w:r>
      <w:r w:rsidRPr="00335123">
        <w:rPr>
          <w:rFonts w:cs="Times New Roman"/>
          <w:noProof/>
          <w:szCs w:val="24"/>
        </w:rPr>
        <w:t>(Yang et al., 2018)</w:t>
      </w:r>
      <w:r w:rsidRPr="00B97BFD">
        <w:rPr>
          <w:rFonts w:cs="Times New Roman"/>
          <w:szCs w:val="24"/>
        </w:rPr>
        <w:fldChar w:fldCharType="end"/>
      </w:r>
      <w:r w:rsidRPr="00B97BFD">
        <w:rPr>
          <w:rFonts w:cs="Times New Roman"/>
          <w:szCs w:val="24"/>
        </w:rPr>
        <w:t>. Considering the much longer daily</w:t>
      </w:r>
      <w:r>
        <w:rPr>
          <w:rFonts w:cs="Times New Roman"/>
          <w:szCs w:val="24"/>
        </w:rPr>
        <w:t xml:space="preserve"> mileage of taxis</w:t>
      </w:r>
      <w:r w:rsidRPr="00B97BFD">
        <w:rPr>
          <w:rFonts w:cs="Times New Roman"/>
          <w:szCs w:val="24"/>
        </w:rPr>
        <w:t xml:space="preserve">, public charging </w:t>
      </w:r>
      <w:r>
        <w:rPr>
          <w:rFonts w:cs="Times New Roman"/>
          <w:szCs w:val="24"/>
        </w:rPr>
        <w:t>infrastructures</w:t>
      </w:r>
      <w:r w:rsidRPr="00B97BFD">
        <w:rPr>
          <w:rFonts w:cs="Times New Roman"/>
          <w:szCs w:val="24"/>
        </w:rPr>
        <w:t xml:space="preserve"> </w:t>
      </w:r>
      <w:proofErr w:type="gramStart"/>
      <w:r>
        <w:rPr>
          <w:rFonts w:cs="Times New Roman"/>
          <w:szCs w:val="24"/>
        </w:rPr>
        <w:t>appear to be</w:t>
      </w:r>
      <w:proofErr w:type="gramEnd"/>
      <w:r>
        <w:rPr>
          <w:rFonts w:cs="Times New Roman"/>
          <w:szCs w:val="24"/>
        </w:rPr>
        <w:t xml:space="preserve"> crucial to support such service</w:t>
      </w:r>
      <w:r w:rsidRPr="00B97BFD">
        <w:rPr>
          <w:rFonts w:cs="Times New Roman"/>
          <w:szCs w:val="24"/>
        </w:rPr>
        <w:t>.</w:t>
      </w:r>
    </w:p>
    <w:p w14:paraId="075DA9D7" w14:textId="77777777" w:rsidR="00FF7347" w:rsidRPr="007A6340" w:rsidRDefault="00FF7347" w:rsidP="00FF7347">
      <w:pPr>
        <w:pStyle w:val="Heading1"/>
      </w:pPr>
      <w:r>
        <w:t>Research Objectives</w:t>
      </w:r>
    </w:p>
    <w:p w14:paraId="2F495BF9" w14:textId="46FE34CF" w:rsidR="00FF7347" w:rsidRDefault="00FF7347" w:rsidP="00FF7347">
      <w:pPr>
        <w:rPr>
          <w:rFonts w:cs="Times New Roman"/>
          <w:szCs w:val="24"/>
        </w:rPr>
      </w:pPr>
      <w:r>
        <w:rPr>
          <w:rFonts w:cs="Times New Roman"/>
          <w:szCs w:val="24"/>
        </w:rPr>
        <w:t xml:space="preserve">With the </w:t>
      </w:r>
      <w:proofErr w:type="gramStart"/>
      <w:r>
        <w:rPr>
          <w:rFonts w:cs="Times New Roman"/>
          <w:szCs w:val="24"/>
        </w:rPr>
        <w:t>aforementioned urgent</w:t>
      </w:r>
      <w:proofErr w:type="gramEnd"/>
      <w:r>
        <w:rPr>
          <w:rFonts w:cs="Times New Roman"/>
          <w:szCs w:val="24"/>
        </w:rPr>
        <w:t xml:space="preserve"> needs, effectively EV charging management, more specifically, the efficient allocation of </w:t>
      </w:r>
      <w:r w:rsidRPr="00B97BFD">
        <w:rPr>
          <w:rFonts w:cs="Times New Roman"/>
          <w:szCs w:val="24"/>
        </w:rPr>
        <w:t>electrical vehicle supply equipment (EVSE</w:t>
      </w:r>
      <w:r>
        <w:rPr>
          <w:rFonts w:cs="Times New Roman"/>
          <w:szCs w:val="24"/>
        </w:rPr>
        <w:t>) is much required. Addressing</w:t>
      </w:r>
      <w:r w:rsidRPr="00B97BFD">
        <w:rPr>
          <w:rFonts w:cs="Times New Roman"/>
          <w:szCs w:val="24"/>
        </w:rPr>
        <w:t xml:space="preserve"> EVSE allocation problem can </w:t>
      </w:r>
      <w:r>
        <w:rPr>
          <w:rFonts w:cs="Times New Roman"/>
          <w:szCs w:val="24"/>
        </w:rPr>
        <w:t>help</w:t>
      </w:r>
      <w:r w:rsidRPr="00B97BFD">
        <w:rPr>
          <w:rFonts w:cs="Times New Roman"/>
          <w:szCs w:val="24"/>
        </w:rPr>
        <w:t xml:space="preserve"> </w:t>
      </w:r>
      <w:r>
        <w:rPr>
          <w:rFonts w:cs="Times New Roman"/>
          <w:szCs w:val="24"/>
        </w:rPr>
        <w:t>alleviate</w:t>
      </w:r>
      <w:r w:rsidRPr="00B97BFD">
        <w:rPr>
          <w:rFonts w:cs="Times New Roman"/>
          <w:szCs w:val="24"/>
        </w:rPr>
        <w:t xml:space="preserve"> ran</w:t>
      </w:r>
      <w:r>
        <w:rPr>
          <w:rFonts w:cs="Times New Roman"/>
          <w:szCs w:val="24"/>
        </w:rPr>
        <w:t xml:space="preserve">ge anxiety, which </w:t>
      </w:r>
      <w:proofErr w:type="gramStart"/>
      <w:r>
        <w:rPr>
          <w:rFonts w:cs="Times New Roman"/>
          <w:szCs w:val="24"/>
        </w:rPr>
        <w:t>is ranked</w:t>
      </w:r>
      <w:proofErr w:type="gramEnd"/>
      <w:r>
        <w:rPr>
          <w:rFonts w:cs="Times New Roman"/>
          <w:szCs w:val="24"/>
        </w:rPr>
        <w:t xml:space="preserve"> as the top </w:t>
      </w:r>
      <w:r w:rsidRPr="00B97BFD">
        <w:rPr>
          <w:rFonts w:cs="Times New Roman"/>
          <w:szCs w:val="24"/>
        </w:rPr>
        <w:t xml:space="preserve">concern for EV purchase. Besides, improving </w:t>
      </w:r>
      <w:r>
        <w:rPr>
          <w:rFonts w:cs="Times New Roman"/>
          <w:szCs w:val="24"/>
        </w:rPr>
        <w:t xml:space="preserve">the </w:t>
      </w:r>
      <w:r w:rsidRPr="00B97BFD">
        <w:rPr>
          <w:rFonts w:cs="Times New Roman"/>
          <w:szCs w:val="24"/>
        </w:rPr>
        <w:t xml:space="preserve">operational efficiency of public charging facilities </w:t>
      </w:r>
      <w:r>
        <w:rPr>
          <w:rFonts w:cs="Times New Roman"/>
          <w:szCs w:val="24"/>
        </w:rPr>
        <w:t>could</w:t>
      </w:r>
      <w:r w:rsidRPr="00B97BFD">
        <w:rPr>
          <w:rFonts w:cs="Times New Roman"/>
          <w:szCs w:val="24"/>
        </w:rPr>
        <w:t xml:space="preserve"> significantly increase revenues for EVSE providers and benefit government agencies’ infrastructure planning in both short- and long-term</w:t>
      </w:r>
      <w:r>
        <w:rPr>
          <w:rFonts w:cs="Times New Roman"/>
          <w:szCs w:val="24"/>
        </w:rPr>
        <w:t>s.</w:t>
      </w:r>
    </w:p>
    <w:p w14:paraId="2C5A2225" w14:textId="213CB3D4" w:rsidR="00FF7347" w:rsidRDefault="00FF7347" w:rsidP="001B5C14">
      <w:pPr>
        <w:spacing w:after="120"/>
        <w:rPr>
          <w:rFonts w:cs="Times New Roman"/>
          <w:szCs w:val="24"/>
        </w:rPr>
      </w:pPr>
      <w:r>
        <w:rPr>
          <w:rFonts w:cs="Times New Roman"/>
          <w:szCs w:val="24"/>
        </w:rPr>
        <w:t>This study aims to</w:t>
      </w:r>
      <w:r w:rsidRPr="00B97BFD">
        <w:rPr>
          <w:rFonts w:cs="Times New Roman"/>
          <w:szCs w:val="24"/>
        </w:rPr>
        <w:t xml:space="preserve"> produce a realistic and high-resol</w:t>
      </w:r>
      <w:r>
        <w:rPr>
          <w:rFonts w:cs="Times New Roman"/>
          <w:szCs w:val="24"/>
        </w:rPr>
        <w:t>ution public charging simulation environment</w:t>
      </w:r>
      <w:r w:rsidRPr="00B97BFD">
        <w:rPr>
          <w:rFonts w:cs="Times New Roman"/>
          <w:szCs w:val="24"/>
        </w:rPr>
        <w:t xml:space="preserve"> and</w:t>
      </w:r>
      <w:r>
        <w:rPr>
          <w:rFonts w:cs="Times New Roman"/>
          <w:szCs w:val="24"/>
        </w:rPr>
        <w:t xml:space="preserve"> provide practical guidance for future charging station deployment.</w:t>
      </w:r>
      <w:r w:rsidRPr="00B97BFD">
        <w:rPr>
          <w:rFonts w:cs="Times New Roman"/>
          <w:szCs w:val="24"/>
        </w:rPr>
        <w:t xml:space="preserve"> </w:t>
      </w:r>
      <w:r>
        <w:rPr>
          <w:rFonts w:cs="Times New Roman"/>
          <w:szCs w:val="24"/>
        </w:rPr>
        <w:t>There are three specific objectives to achieve this goal:</w:t>
      </w:r>
    </w:p>
    <w:p w14:paraId="18DCB23F" w14:textId="77777777" w:rsidR="00FF7347" w:rsidRDefault="00FF7347" w:rsidP="001B5C14">
      <w:pPr>
        <w:pStyle w:val="ListParagraph"/>
        <w:numPr>
          <w:ilvl w:val="0"/>
          <w:numId w:val="1"/>
        </w:numPr>
        <w:contextualSpacing w:val="0"/>
        <w:rPr>
          <w:rFonts w:cs="Times New Roman"/>
          <w:szCs w:val="24"/>
        </w:rPr>
      </w:pPr>
      <w:r>
        <w:rPr>
          <w:rFonts w:cs="Times New Roman"/>
          <w:szCs w:val="24"/>
        </w:rPr>
        <w:t>We will build an agent-based model to model the daily activities of all drivers within a study region;</w:t>
      </w:r>
    </w:p>
    <w:p w14:paraId="65AED554" w14:textId="7AC85C68" w:rsidR="00FF7347" w:rsidRDefault="00FF7347" w:rsidP="001B5C14">
      <w:pPr>
        <w:pStyle w:val="ListParagraph"/>
        <w:numPr>
          <w:ilvl w:val="0"/>
          <w:numId w:val="1"/>
        </w:numPr>
        <w:contextualSpacing w:val="0"/>
        <w:rPr>
          <w:rFonts w:cs="Times New Roman"/>
          <w:szCs w:val="24"/>
        </w:rPr>
      </w:pPr>
      <w:r>
        <w:rPr>
          <w:rFonts w:cs="Times New Roman"/>
          <w:szCs w:val="24"/>
        </w:rPr>
        <w:t>We will estimate EV user distributions and charging demand based on socioeconomic attributes and public charging decision rules; and</w:t>
      </w:r>
    </w:p>
    <w:p w14:paraId="7F3AEB6D" w14:textId="33DE8606" w:rsidR="00FF7347" w:rsidRPr="008A4EBA" w:rsidRDefault="00FF7347" w:rsidP="001B5C14">
      <w:pPr>
        <w:pStyle w:val="ListParagraph"/>
        <w:numPr>
          <w:ilvl w:val="0"/>
          <w:numId w:val="1"/>
        </w:numPr>
        <w:contextualSpacing w:val="0"/>
        <w:rPr>
          <w:rFonts w:cs="Times New Roman"/>
          <w:szCs w:val="24"/>
        </w:rPr>
      </w:pPr>
      <w:r>
        <w:rPr>
          <w:rFonts w:cs="Times New Roman"/>
          <w:szCs w:val="24"/>
        </w:rPr>
        <w:t xml:space="preserve">We will develop an optimization framework based on the estimated public charging demand to efficient solve the EVSE allocation problem, </w:t>
      </w:r>
      <w:proofErr w:type="gramStart"/>
      <w:r>
        <w:rPr>
          <w:rFonts w:cs="Times New Roman"/>
          <w:szCs w:val="24"/>
        </w:rPr>
        <w:t>in an effort to</w:t>
      </w:r>
      <w:proofErr w:type="gramEnd"/>
      <w:r>
        <w:rPr>
          <w:rFonts w:cs="Times New Roman"/>
          <w:szCs w:val="24"/>
        </w:rPr>
        <w:t xml:space="preserve"> maximize the coverage of total charging demands under investment costs and load capacity constraints.</w:t>
      </w:r>
    </w:p>
    <w:p w14:paraId="1266B4BA" w14:textId="77777777" w:rsidR="00FF7347" w:rsidRPr="007A6340" w:rsidRDefault="00FF7347" w:rsidP="00FF7347">
      <w:pPr>
        <w:pStyle w:val="Heading1"/>
      </w:pPr>
      <w:r>
        <w:t>Research Methods</w:t>
      </w:r>
    </w:p>
    <w:p w14:paraId="09300E6D" w14:textId="77777777" w:rsidR="00FF7347" w:rsidRDefault="00FF7347" w:rsidP="00D527FC">
      <w:pPr>
        <w:rPr>
          <w:rFonts w:cs="Times New Roman"/>
          <w:szCs w:val="24"/>
        </w:rPr>
      </w:pPr>
      <w:r w:rsidRPr="00A774C0">
        <w:rPr>
          <w:rFonts w:cs="Times New Roman"/>
          <w:szCs w:val="24"/>
        </w:rPr>
        <w:t xml:space="preserve">To simulate EV mobility and associated energy consumption in a high spatiotemporal resolution, the modeling framework </w:t>
      </w:r>
      <w:proofErr w:type="gramStart"/>
      <w:r w:rsidRPr="00A774C0">
        <w:rPr>
          <w:rFonts w:cs="Times New Roman"/>
          <w:szCs w:val="24"/>
        </w:rPr>
        <w:t>is divided</w:t>
      </w:r>
      <w:proofErr w:type="gramEnd"/>
      <w:r w:rsidRPr="00A774C0">
        <w:rPr>
          <w:rFonts w:cs="Times New Roman"/>
          <w:szCs w:val="24"/>
        </w:rPr>
        <w:t xml:space="preserve"> into four major components: populations and trips generation, travel activity simulation, public charging modeling, and charging station locations optimization. Figure 1 shows the flow chart of the methodology. We</w:t>
      </w:r>
      <w:r>
        <w:rPr>
          <w:rFonts w:cs="Times New Roman"/>
          <w:szCs w:val="24"/>
        </w:rPr>
        <w:t xml:space="preserve"> will</w:t>
      </w:r>
      <w:r w:rsidRPr="00A774C0">
        <w:rPr>
          <w:rFonts w:cs="Times New Roman"/>
          <w:szCs w:val="24"/>
        </w:rPr>
        <w:t xml:space="preserve"> begin by creating synthetic population using sociodemographic information at the </w:t>
      </w:r>
      <w:r>
        <w:rPr>
          <w:rFonts w:cs="Times New Roman"/>
          <w:szCs w:val="24"/>
        </w:rPr>
        <w:t>traffic analysis zone (</w:t>
      </w:r>
      <w:r w:rsidRPr="00A774C0">
        <w:rPr>
          <w:rFonts w:cs="Times New Roman"/>
          <w:szCs w:val="24"/>
        </w:rPr>
        <w:t>TAZ</w:t>
      </w:r>
      <w:r>
        <w:rPr>
          <w:rFonts w:cs="Times New Roman"/>
          <w:szCs w:val="24"/>
        </w:rPr>
        <w:t>)</w:t>
      </w:r>
      <w:r w:rsidRPr="00A774C0">
        <w:rPr>
          <w:rFonts w:cs="Times New Roman"/>
          <w:szCs w:val="24"/>
        </w:rPr>
        <w:t xml:space="preserve"> level. In the meantime, a time-inhomogeneous Markov chain </w:t>
      </w:r>
      <w:r>
        <w:rPr>
          <w:rFonts w:cs="Times New Roman"/>
          <w:szCs w:val="24"/>
        </w:rPr>
        <w:t xml:space="preserve">will </w:t>
      </w:r>
      <w:proofErr w:type="gramStart"/>
      <w:r>
        <w:rPr>
          <w:rFonts w:cs="Times New Roman"/>
          <w:szCs w:val="24"/>
        </w:rPr>
        <w:t>be</w:t>
      </w:r>
      <w:r w:rsidRPr="00A774C0">
        <w:rPr>
          <w:rFonts w:cs="Times New Roman"/>
          <w:szCs w:val="24"/>
        </w:rPr>
        <w:t xml:space="preserve"> trained</w:t>
      </w:r>
      <w:proofErr w:type="gramEnd"/>
      <w:r w:rsidRPr="00A774C0">
        <w:rPr>
          <w:rFonts w:cs="Times New Roman"/>
          <w:szCs w:val="24"/>
        </w:rPr>
        <w:t xml:space="preserve"> using </w:t>
      </w:r>
      <w:r w:rsidRPr="00483634">
        <w:rPr>
          <w:rFonts w:cs="Times New Roman"/>
          <w:szCs w:val="24"/>
        </w:rPr>
        <w:t>A</w:t>
      </w:r>
      <w:r>
        <w:rPr>
          <w:rFonts w:cs="Times New Roman"/>
          <w:szCs w:val="24"/>
        </w:rPr>
        <w:t>merican Time Use Survey (A</w:t>
      </w:r>
      <w:r w:rsidRPr="00483634">
        <w:rPr>
          <w:rFonts w:cs="Times New Roman"/>
          <w:szCs w:val="24"/>
        </w:rPr>
        <w:t>TUS</w:t>
      </w:r>
      <w:r>
        <w:rPr>
          <w:rFonts w:cs="Times New Roman"/>
          <w:szCs w:val="24"/>
        </w:rPr>
        <w:t>)</w:t>
      </w:r>
      <w:r w:rsidRPr="00A774C0">
        <w:rPr>
          <w:rFonts w:cs="Times New Roman"/>
          <w:szCs w:val="24"/>
        </w:rPr>
        <w:t xml:space="preserve"> data to produce stochastic daily activities. Following that, a location mapping technique </w:t>
      </w:r>
      <w:proofErr w:type="gramStart"/>
      <w:r w:rsidRPr="00A774C0">
        <w:rPr>
          <w:rFonts w:cs="Times New Roman"/>
          <w:szCs w:val="24"/>
        </w:rPr>
        <w:t>is proposed</w:t>
      </w:r>
      <w:proofErr w:type="gramEnd"/>
      <w:r w:rsidRPr="00A774C0">
        <w:rPr>
          <w:rFonts w:cs="Times New Roman"/>
          <w:szCs w:val="24"/>
        </w:rPr>
        <w:t xml:space="preserve"> to project those daily activities onto specific geographical locations based on historical travel patterns, </w:t>
      </w:r>
      <w:r>
        <w:rPr>
          <w:rFonts w:cs="Times New Roman"/>
          <w:szCs w:val="24"/>
        </w:rPr>
        <w:t xml:space="preserve">point of </w:t>
      </w:r>
      <w:r w:rsidRPr="00483634">
        <w:rPr>
          <w:rFonts w:cs="Times New Roman"/>
          <w:szCs w:val="24"/>
        </w:rPr>
        <w:t>interest (POI),</w:t>
      </w:r>
      <w:r w:rsidRPr="00A774C0">
        <w:rPr>
          <w:rFonts w:cs="Times New Roman"/>
          <w:szCs w:val="24"/>
        </w:rPr>
        <w:t xml:space="preserve"> and population information. These </w:t>
      </w:r>
      <w:proofErr w:type="gramStart"/>
      <w:r w:rsidRPr="00A774C0">
        <w:rPr>
          <w:rFonts w:cs="Times New Roman"/>
          <w:szCs w:val="24"/>
        </w:rPr>
        <w:t>aforementioned pieces</w:t>
      </w:r>
      <w:proofErr w:type="gramEnd"/>
      <w:r w:rsidRPr="00A774C0">
        <w:rPr>
          <w:rFonts w:cs="Times New Roman"/>
          <w:szCs w:val="24"/>
        </w:rPr>
        <w:t xml:space="preserve"> of information are then fed into </w:t>
      </w:r>
      <w:r w:rsidRPr="00B97BFD">
        <w:rPr>
          <w:rFonts w:cs="Times New Roman"/>
          <w:szCs w:val="24"/>
        </w:rPr>
        <w:t>Multi-agent Transport Simulation (MATSim), an open-source framework for implementing large-scale agent-based transport simulation</w:t>
      </w:r>
      <w:r>
        <w:rPr>
          <w:rFonts w:cs="Times New Roman"/>
          <w:szCs w:val="24"/>
        </w:rPr>
        <w:t xml:space="preserve">, </w:t>
      </w:r>
      <w:r w:rsidRPr="00A774C0">
        <w:rPr>
          <w:rFonts w:cs="Times New Roman"/>
          <w:szCs w:val="24"/>
        </w:rPr>
        <w:t xml:space="preserve">together with road network, to return the optimal travel plans for all drivers. </w:t>
      </w:r>
      <w:r>
        <w:rPr>
          <w:rFonts w:cs="Times New Roman"/>
          <w:szCs w:val="24"/>
        </w:rPr>
        <w:t>For the post-simulation analysis</w:t>
      </w:r>
      <w:r w:rsidRPr="00A774C0">
        <w:rPr>
          <w:rFonts w:cs="Times New Roman"/>
          <w:szCs w:val="24"/>
        </w:rPr>
        <w:t xml:space="preserve">, we </w:t>
      </w:r>
      <w:r>
        <w:rPr>
          <w:rFonts w:cs="Times New Roman"/>
          <w:szCs w:val="24"/>
        </w:rPr>
        <w:t xml:space="preserve">will </w:t>
      </w:r>
      <w:r w:rsidRPr="00A774C0">
        <w:rPr>
          <w:rFonts w:cs="Times New Roman"/>
          <w:szCs w:val="24"/>
        </w:rPr>
        <w:t xml:space="preserve">apply EV adoption probability model and EV energy consumption model to determine EV distribution and potential public charging demands. This </w:t>
      </w:r>
      <w:proofErr w:type="gramStart"/>
      <w:r w:rsidRPr="00A774C0">
        <w:rPr>
          <w:rFonts w:cs="Times New Roman"/>
          <w:szCs w:val="24"/>
        </w:rPr>
        <w:t>is validated</w:t>
      </w:r>
      <w:proofErr w:type="gramEnd"/>
      <w:r w:rsidRPr="00A774C0">
        <w:rPr>
          <w:rFonts w:cs="Times New Roman"/>
          <w:szCs w:val="24"/>
        </w:rPr>
        <w:t xml:space="preserve"> against real-world public charging observations. An optimization model is then employed to maximize the coverage of public charging demand under various constraints.</w:t>
      </w:r>
    </w:p>
    <w:p w14:paraId="13A630AF" w14:textId="77777777" w:rsidR="00FF7347" w:rsidRDefault="00FF7347" w:rsidP="00E94D8F">
      <w:pPr>
        <w:keepNext/>
        <w:spacing w:after="0"/>
        <w:jc w:val="center"/>
        <w:rPr>
          <w:color w:val="000000" w:themeColor="text1"/>
        </w:rPr>
      </w:pPr>
      <w:r>
        <w:rPr>
          <w:noProof/>
          <w:color w:val="000000" w:themeColor="text1"/>
        </w:rPr>
        <w:lastRenderedPageBreak/>
        <w:drawing>
          <wp:inline distT="0" distB="0" distL="0" distR="0" wp14:anchorId="7EF07085" wp14:editId="2DA7D53A">
            <wp:extent cx="5479543" cy="1844703"/>
            <wp:effectExtent l="0" t="0" r="6985" b="3175"/>
            <wp:docPr id="8" name="Picture 8"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pic:cNvPicPr/>
                  </pic:nvPicPr>
                  <pic:blipFill rotWithShape="1">
                    <a:blip r:embed="rId7" cstate="print">
                      <a:extLst>
                        <a:ext uri="{28A0092B-C50C-407E-A947-70E740481C1C}">
                          <a14:useLocalDpi xmlns:a14="http://schemas.microsoft.com/office/drawing/2010/main" val="0"/>
                        </a:ext>
                      </a:extLst>
                    </a:blip>
                    <a:srcRect t="2403" r="2500" b="8700"/>
                    <a:stretch/>
                  </pic:blipFill>
                  <pic:spPr bwMode="auto">
                    <a:xfrm>
                      <a:off x="0" y="0"/>
                      <a:ext cx="5525909" cy="1860312"/>
                    </a:xfrm>
                    <a:prstGeom prst="rect">
                      <a:avLst/>
                    </a:prstGeom>
                    <a:ln>
                      <a:noFill/>
                    </a:ln>
                    <a:extLst>
                      <a:ext uri="{53640926-AAD7-44D8-BBD7-CCE9431645EC}">
                        <a14:shadowObscured xmlns:a14="http://schemas.microsoft.com/office/drawing/2010/main"/>
                      </a:ext>
                    </a:extLst>
                  </pic:spPr>
                </pic:pic>
              </a:graphicData>
            </a:graphic>
          </wp:inline>
        </w:drawing>
      </w:r>
    </w:p>
    <w:p w14:paraId="31042E19" w14:textId="3214B544" w:rsidR="00FF7347" w:rsidRPr="002E1703" w:rsidRDefault="00FF7347" w:rsidP="00B2300A">
      <w:pPr>
        <w:spacing w:after="480"/>
        <w:jc w:val="center"/>
        <w:rPr>
          <w:rFonts w:cs="Times New Roman"/>
          <w:szCs w:val="24"/>
        </w:rPr>
      </w:pPr>
      <w:bookmarkStart w:id="0" w:name="_Toc103346306"/>
      <w:r>
        <w:rPr>
          <w:rFonts w:cs="Times New Roman"/>
          <w:szCs w:val="24"/>
        </w:rPr>
        <w:t>Figure 1.</w:t>
      </w:r>
      <w:r w:rsidRPr="00A774C0">
        <w:rPr>
          <w:rFonts w:cs="Times New Roman"/>
          <w:szCs w:val="24"/>
        </w:rPr>
        <w:t xml:space="preserve"> Model Development Framework.</w:t>
      </w:r>
      <w:bookmarkEnd w:id="0"/>
    </w:p>
    <w:p w14:paraId="08694EA0" w14:textId="77777777" w:rsidR="00FF7347" w:rsidRPr="007A6340" w:rsidRDefault="00FF7347" w:rsidP="00FF7347">
      <w:pPr>
        <w:pStyle w:val="Heading1"/>
      </w:pPr>
      <w:r>
        <w:t>Expected Outcomes</w:t>
      </w:r>
    </w:p>
    <w:p w14:paraId="4AFA05EC" w14:textId="0C26DD81" w:rsidR="00FF7347" w:rsidRDefault="00FF7347" w:rsidP="00A44086">
      <w:pPr>
        <w:spacing w:after="120"/>
      </w:pPr>
      <w:r>
        <w:t xml:space="preserve">There are three expected outcomes </w:t>
      </w:r>
      <w:proofErr w:type="gramStart"/>
      <w:r>
        <w:t>as a result of</w:t>
      </w:r>
      <w:proofErr w:type="gramEnd"/>
      <w:r>
        <w:t xml:space="preserve"> this project:</w:t>
      </w:r>
    </w:p>
    <w:p w14:paraId="74C2189B" w14:textId="77777777" w:rsidR="00FF7347" w:rsidRPr="00B97BFD" w:rsidRDefault="00FF7347" w:rsidP="005A0527">
      <w:pPr>
        <w:pStyle w:val="ListParagraph"/>
        <w:numPr>
          <w:ilvl w:val="0"/>
          <w:numId w:val="2"/>
        </w:numPr>
        <w:contextualSpacing w:val="0"/>
        <w:rPr>
          <w:rFonts w:cs="Times New Roman"/>
          <w:szCs w:val="24"/>
        </w:rPr>
      </w:pPr>
      <w:r w:rsidRPr="00B97BFD">
        <w:rPr>
          <w:rFonts w:cs="Times New Roman"/>
          <w:szCs w:val="24"/>
        </w:rPr>
        <w:t xml:space="preserve">A city-scale agent-based simulation </w:t>
      </w:r>
      <w:r>
        <w:rPr>
          <w:rFonts w:cs="Times New Roman"/>
          <w:szCs w:val="24"/>
        </w:rPr>
        <w:t xml:space="preserve">will </w:t>
      </w:r>
      <w:proofErr w:type="gramStart"/>
      <w:r>
        <w:rPr>
          <w:rFonts w:cs="Times New Roman"/>
          <w:szCs w:val="24"/>
        </w:rPr>
        <w:t>be</w:t>
      </w:r>
      <w:r w:rsidRPr="00B97BFD">
        <w:rPr>
          <w:rFonts w:cs="Times New Roman"/>
          <w:szCs w:val="24"/>
        </w:rPr>
        <w:t xml:space="preserve"> </w:t>
      </w:r>
      <w:r>
        <w:rPr>
          <w:rFonts w:cs="Times New Roman"/>
          <w:szCs w:val="24"/>
        </w:rPr>
        <w:t>developed</w:t>
      </w:r>
      <w:proofErr w:type="gramEnd"/>
      <w:r w:rsidRPr="00B97BFD">
        <w:rPr>
          <w:rFonts w:cs="Times New Roman"/>
          <w:szCs w:val="24"/>
        </w:rPr>
        <w:t xml:space="preserve"> to produc</w:t>
      </w:r>
      <w:r>
        <w:rPr>
          <w:rFonts w:cs="Times New Roman"/>
          <w:szCs w:val="24"/>
        </w:rPr>
        <w:t xml:space="preserve">e daily travel profiles using </w:t>
      </w:r>
      <w:r w:rsidRPr="00B97BFD">
        <w:rPr>
          <w:rFonts w:cs="Times New Roman"/>
          <w:szCs w:val="24"/>
        </w:rPr>
        <w:t>time-inhomogeneous Markov chain, and location mapping technique</w:t>
      </w:r>
      <w:r>
        <w:rPr>
          <w:rFonts w:cs="Times New Roman"/>
          <w:szCs w:val="24"/>
        </w:rPr>
        <w:t xml:space="preserve"> in combination with American time use survey (ATUS)</w:t>
      </w:r>
      <w:r w:rsidRPr="00B97BFD">
        <w:rPr>
          <w:rFonts w:cs="Times New Roman"/>
          <w:szCs w:val="24"/>
        </w:rPr>
        <w:t xml:space="preserve">. EV assignment and public charging decision modeling </w:t>
      </w:r>
      <w:r>
        <w:rPr>
          <w:rFonts w:cs="Times New Roman"/>
          <w:szCs w:val="24"/>
        </w:rPr>
        <w:t>will be</w:t>
      </w:r>
      <w:r w:rsidRPr="00B97BFD">
        <w:rPr>
          <w:rFonts w:cs="Times New Roman"/>
          <w:szCs w:val="24"/>
        </w:rPr>
        <w:t xml:space="preserve"> subsequently specified </w:t>
      </w:r>
      <w:r>
        <w:rPr>
          <w:rFonts w:cs="Times New Roman"/>
          <w:szCs w:val="24"/>
        </w:rPr>
        <w:t>in</w:t>
      </w:r>
      <w:r w:rsidRPr="00B97BFD">
        <w:rPr>
          <w:rFonts w:cs="Times New Roman"/>
          <w:szCs w:val="24"/>
        </w:rPr>
        <w:t xml:space="preserve"> post-simulation analyses using socioeconomic and demographic information</w:t>
      </w:r>
      <w:r>
        <w:rPr>
          <w:rFonts w:cs="Times New Roman"/>
          <w:szCs w:val="24"/>
        </w:rPr>
        <w:t xml:space="preserve"> to produce high-resolution public charging demand</w:t>
      </w:r>
      <w:r w:rsidRPr="00B97BFD">
        <w:rPr>
          <w:rFonts w:cs="Times New Roman"/>
          <w:szCs w:val="24"/>
        </w:rPr>
        <w:t>;</w:t>
      </w:r>
    </w:p>
    <w:p w14:paraId="5536E566" w14:textId="6686F060" w:rsidR="00FF7347" w:rsidRPr="00B97BFD" w:rsidRDefault="00FF7347" w:rsidP="005A0527">
      <w:pPr>
        <w:pStyle w:val="ListParagraph"/>
        <w:numPr>
          <w:ilvl w:val="0"/>
          <w:numId w:val="2"/>
        </w:numPr>
        <w:contextualSpacing w:val="0"/>
        <w:rPr>
          <w:rFonts w:cs="Times New Roman"/>
          <w:szCs w:val="24"/>
        </w:rPr>
      </w:pPr>
      <w:r w:rsidRPr="00B97BFD">
        <w:rPr>
          <w:rFonts w:cs="Times New Roman"/>
          <w:szCs w:val="24"/>
        </w:rPr>
        <w:t>The spatiotemporal d</w:t>
      </w:r>
      <w:r>
        <w:rPr>
          <w:rFonts w:cs="Times New Roman"/>
          <w:szCs w:val="24"/>
        </w:rPr>
        <w:t xml:space="preserve">istribution of synthetic </w:t>
      </w:r>
      <w:r w:rsidRPr="00B97BFD">
        <w:rPr>
          <w:rFonts w:cs="Times New Roman"/>
          <w:szCs w:val="24"/>
        </w:rPr>
        <w:t xml:space="preserve">charging demand </w:t>
      </w:r>
      <w:r>
        <w:rPr>
          <w:rFonts w:cs="Times New Roman"/>
          <w:szCs w:val="24"/>
        </w:rPr>
        <w:t xml:space="preserve">will </w:t>
      </w:r>
      <w:proofErr w:type="gramStart"/>
      <w:r>
        <w:rPr>
          <w:rFonts w:cs="Times New Roman"/>
          <w:szCs w:val="24"/>
        </w:rPr>
        <w:t>be</w:t>
      </w:r>
      <w:r w:rsidRPr="00B97BFD">
        <w:rPr>
          <w:rFonts w:cs="Times New Roman"/>
          <w:szCs w:val="24"/>
        </w:rPr>
        <w:t xml:space="preserve"> validated</w:t>
      </w:r>
      <w:proofErr w:type="gramEnd"/>
      <w:r w:rsidRPr="00B97BFD">
        <w:rPr>
          <w:rFonts w:cs="Times New Roman"/>
          <w:szCs w:val="24"/>
        </w:rPr>
        <w:t xml:space="preserve"> against real-world public charging records. To overcome data availability issue</w:t>
      </w:r>
      <w:r>
        <w:rPr>
          <w:rFonts w:cs="Times New Roman"/>
          <w:szCs w:val="24"/>
        </w:rPr>
        <w:t>s</w:t>
      </w:r>
      <w:r w:rsidRPr="00B97BFD">
        <w:rPr>
          <w:rFonts w:cs="Times New Roman"/>
          <w:szCs w:val="24"/>
        </w:rPr>
        <w:t>, we</w:t>
      </w:r>
      <w:r>
        <w:rPr>
          <w:rFonts w:cs="Times New Roman"/>
          <w:szCs w:val="24"/>
        </w:rPr>
        <w:t xml:space="preserve"> will</w:t>
      </w:r>
      <w:r w:rsidRPr="00B97BFD">
        <w:rPr>
          <w:rFonts w:cs="Times New Roman"/>
          <w:szCs w:val="24"/>
        </w:rPr>
        <w:t xml:space="preserve"> build a dynamic crawling pipeline using Amazon Web Services (AWS). The proposed pipeline </w:t>
      </w:r>
      <w:r>
        <w:rPr>
          <w:rFonts w:cs="Times New Roman"/>
          <w:szCs w:val="24"/>
        </w:rPr>
        <w:t xml:space="preserve">will generate </w:t>
      </w:r>
      <w:r w:rsidRPr="00B97BFD">
        <w:rPr>
          <w:rFonts w:cs="Times New Roman"/>
          <w:szCs w:val="24"/>
        </w:rPr>
        <w:t xml:space="preserve">high-resolution usage information for existing public charging stations, and it can </w:t>
      </w:r>
      <w:r>
        <w:rPr>
          <w:rFonts w:cs="Times New Roman"/>
          <w:szCs w:val="24"/>
        </w:rPr>
        <w:t xml:space="preserve">readily </w:t>
      </w:r>
      <w:r w:rsidRPr="00B97BFD">
        <w:rPr>
          <w:rFonts w:cs="Times New Roman"/>
          <w:szCs w:val="24"/>
        </w:rPr>
        <w:t>migrate to other regions for future studies; and</w:t>
      </w:r>
    </w:p>
    <w:p w14:paraId="6B9E49DC" w14:textId="034AC57D" w:rsidR="00FF7347" w:rsidRPr="005A0527" w:rsidRDefault="00FF7347" w:rsidP="005A0527">
      <w:pPr>
        <w:pStyle w:val="ListParagraph"/>
        <w:numPr>
          <w:ilvl w:val="0"/>
          <w:numId w:val="2"/>
        </w:numPr>
        <w:contextualSpacing w:val="0"/>
        <w:rPr>
          <w:rFonts w:cs="Times New Roman"/>
          <w:szCs w:val="24"/>
        </w:rPr>
      </w:pPr>
      <w:r>
        <w:rPr>
          <w:rFonts w:cs="Times New Roman"/>
          <w:szCs w:val="24"/>
        </w:rPr>
        <w:t xml:space="preserve">Capacitated maximal coverage location problem (CMCLP) model will </w:t>
      </w:r>
      <w:proofErr w:type="gramStart"/>
      <w:r>
        <w:rPr>
          <w:rFonts w:cs="Times New Roman"/>
          <w:szCs w:val="24"/>
        </w:rPr>
        <w:t>be applied</w:t>
      </w:r>
      <w:proofErr w:type="gramEnd"/>
      <w:r w:rsidRPr="00B97BFD">
        <w:rPr>
          <w:rFonts w:cs="Times New Roman"/>
          <w:szCs w:val="24"/>
        </w:rPr>
        <w:t xml:space="preserve"> to optimize the deployment of public charging stations </w:t>
      </w:r>
      <w:r>
        <w:rPr>
          <w:rFonts w:cs="Times New Roman"/>
          <w:szCs w:val="24"/>
        </w:rPr>
        <w:t xml:space="preserve">taking into consideration </w:t>
      </w:r>
      <w:r w:rsidRPr="00B97BFD">
        <w:rPr>
          <w:rFonts w:cs="Times New Roman"/>
          <w:szCs w:val="24"/>
        </w:rPr>
        <w:t>both s</w:t>
      </w:r>
      <w:r>
        <w:rPr>
          <w:rFonts w:cs="Times New Roman"/>
          <w:szCs w:val="24"/>
        </w:rPr>
        <w:t>tandard and fast charging demands</w:t>
      </w:r>
      <w:r w:rsidRPr="00B97BFD">
        <w:rPr>
          <w:rFonts w:cs="Times New Roman"/>
          <w:szCs w:val="24"/>
        </w:rPr>
        <w:t xml:space="preserve">. The capacity constraint </w:t>
      </w:r>
      <w:r>
        <w:rPr>
          <w:rFonts w:cs="Times New Roman"/>
          <w:szCs w:val="24"/>
        </w:rPr>
        <w:t xml:space="preserve">will </w:t>
      </w:r>
      <w:proofErr w:type="gramStart"/>
      <w:r>
        <w:rPr>
          <w:rFonts w:cs="Times New Roman"/>
          <w:szCs w:val="24"/>
        </w:rPr>
        <w:t>be formulated</w:t>
      </w:r>
      <w:proofErr w:type="gramEnd"/>
      <w:r w:rsidRPr="00B97BFD">
        <w:rPr>
          <w:rFonts w:cs="Times New Roman"/>
          <w:szCs w:val="24"/>
        </w:rPr>
        <w:t xml:space="preserve"> at different hours-of-the-day to ensure charging demands </w:t>
      </w:r>
      <w:r>
        <w:rPr>
          <w:rFonts w:cs="Times New Roman"/>
          <w:szCs w:val="24"/>
        </w:rPr>
        <w:t>are</w:t>
      </w:r>
      <w:r w:rsidRPr="00B97BFD">
        <w:rPr>
          <w:rFonts w:cs="Times New Roman"/>
          <w:szCs w:val="24"/>
        </w:rPr>
        <w:t xml:space="preserve"> satisfied during peak hours.</w:t>
      </w:r>
      <w:r>
        <w:rPr>
          <w:rFonts w:cs="Times New Roman"/>
          <w:szCs w:val="24"/>
        </w:rPr>
        <w:t xml:space="preserve"> The results can provide practical guidance for future public EVSE installation.</w:t>
      </w:r>
    </w:p>
    <w:p w14:paraId="32847CAD" w14:textId="77777777" w:rsidR="00FF7347" w:rsidRPr="007A6340" w:rsidRDefault="00FF7347" w:rsidP="00FF7347">
      <w:pPr>
        <w:pStyle w:val="Heading1"/>
      </w:pPr>
      <w:r>
        <w:t>Relevance to Strategic Goals</w:t>
      </w:r>
    </w:p>
    <w:p w14:paraId="1FAFC726" w14:textId="77777777" w:rsidR="00FF7347" w:rsidRDefault="00FF7347" w:rsidP="007C1345">
      <w:pPr>
        <w:rPr>
          <w:rFonts w:eastAsia="Times New Roman" w:cs="Times New Roman"/>
          <w:color w:val="000000"/>
          <w:szCs w:val="24"/>
        </w:rPr>
      </w:pPr>
      <w:r w:rsidRPr="00686EE4">
        <w:rPr>
          <w:rFonts w:eastAsia="Times New Roman" w:cs="Times New Roman"/>
          <w:color w:val="000000"/>
          <w:szCs w:val="24"/>
        </w:rPr>
        <w:t xml:space="preserve">This project </w:t>
      </w:r>
      <w:r>
        <w:rPr>
          <w:rFonts w:eastAsia="Times New Roman" w:cs="Times New Roman"/>
          <w:color w:val="000000"/>
          <w:szCs w:val="24"/>
        </w:rPr>
        <w:t>primarily addresses USDOT strategic goals of “</w:t>
      </w:r>
      <w:r w:rsidRPr="00C3319F">
        <w:rPr>
          <w:rFonts w:eastAsia="Times New Roman" w:cs="Times New Roman"/>
          <w:color w:val="000000"/>
          <w:szCs w:val="24"/>
        </w:rPr>
        <w:t>Environmental Sustainability</w:t>
      </w:r>
      <w:r>
        <w:rPr>
          <w:rFonts w:eastAsia="Times New Roman" w:cs="Times New Roman"/>
          <w:color w:val="000000"/>
          <w:szCs w:val="24"/>
        </w:rPr>
        <w:t>” and “</w:t>
      </w:r>
      <w:r w:rsidRPr="00C3319F">
        <w:rPr>
          <w:rFonts w:eastAsia="Times New Roman" w:cs="Times New Roman"/>
          <w:color w:val="000000"/>
          <w:szCs w:val="24"/>
        </w:rPr>
        <w:t>Livable Communities</w:t>
      </w:r>
      <w:proofErr w:type="gramStart"/>
      <w:r>
        <w:rPr>
          <w:rFonts w:eastAsia="Times New Roman" w:cs="Times New Roman"/>
          <w:color w:val="000000"/>
          <w:szCs w:val="24"/>
        </w:rPr>
        <w:t>”.</w:t>
      </w:r>
      <w:proofErr w:type="gramEnd"/>
    </w:p>
    <w:p w14:paraId="3577CF87" w14:textId="031D51A8" w:rsidR="00FF7347" w:rsidRDefault="00FF7347" w:rsidP="007C1345">
      <w:r>
        <w:t>Achieving sustainable transportation to address future energy requirements is a critical mission. EVs play a crucial role in improving fuel economy and reducing greenhouse gas emission.</w:t>
      </w:r>
      <w:r w:rsidR="00D91E17">
        <w:t xml:space="preserve"> </w:t>
      </w:r>
      <w:r>
        <w:t xml:space="preserve">Public charging demand is expected to grow in response to the aggressive EV adoption </w:t>
      </w:r>
      <w:proofErr w:type="gramStart"/>
      <w:r>
        <w:t>in the near future</w:t>
      </w:r>
      <w:proofErr w:type="gramEnd"/>
      <w:r>
        <w:t>. Therefore, a robust prediction of the future charging demand is necessary for appropriately managing and planning public charging infrastructures. Moreover, effectively designing charging station locations can prevent power grid system overload and reduce range anxiety for EV drivers.</w:t>
      </w:r>
    </w:p>
    <w:p w14:paraId="506135E6" w14:textId="77777777" w:rsidR="00FF7347" w:rsidRPr="007A6340" w:rsidRDefault="00FF7347" w:rsidP="00FF7347">
      <w:pPr>
        <w:pStyle w:val="Heading1"/>
      </w:pPr>
      <w:r>
        <w:lastRenderedPageBreak/>
        <w:t>Educational Benefits</w:t>
      </w:r>
    </w:p>
    <w:p w14:paraId="3C5D99D0" w14:textId="4CB4250C" w:rsidR="00FF7347" w:rsidRPr="00686EE4" w:rsidRDefault="00FF7347" w:rsidP="008C778B">
      <w:pPr>
        <w:rPr>
          <w:rFonts w:eastAsia="Times New Roman" w:cs="Times New Roman"/>
          <w:color w:val="000000"/>
          <w:szCs w:val="24"/>
        </w:rPr>
      </w:pPr>
      <w:r w:rsidRPr="00686EE4">
        <w:rPr>
          <w:rFonts w:eastAsia="Times New Roman" w:cs="Times New Roman"/>
          <w:color w:val="000000"/>
          <w:szCs w:val="24"/>
        </w:rPr>
        <w:t>One graduate student will be heavily involved in this research. He/she will lead the preparation of journal publications resulting from the work, and in most cases, deliver conference presentations. The project will serve as a basis for his/her dissertation work. The PI is currently offering a graduate level course “</w:t>
      </w:r>
      <w:r>
        <w:rPr>
          <w:rFonts w:eastAsia="Times New Roman" w:cs="Times New Roman"/>
          <w:color w:val="000000"/>
          <w:szCs w:val="24"/>
        </w:rPr>
        <w:t>Traffic Operations Analysis</w:t>
      </w:r>
      <w:r w:rsidRPr="00686EE4">
        <w:rPr>
          <w:rFonts w:eastAsia="Times New Roman" w:cs="Times New Roman"/>
          <w:color w:val="000000"/>
          <w:szCs w:val="24"/>
        </w:rPr>
        <w:t>” every Fall semester</w:t>
      </w:r>
      <w:r>
        <w:rPr>
          <w:rFonts w:eastAsia="Times New Roman" w:cs="Times New Roman"/>
          <w:color w:val="000000"/>
          <w:szCs w:val="24"/>
        </w:rPr>
        <w:t>, and an undergraduate/graduate level course “Transportation Planning” every Spring semester</w:t>
      </w:r>
      <w:r w:rsidRPr="00686EE4">
        <w:rPr>
          <w:rFonts w:eastAsia="Times New Roman" w:cs="Times New Roman"/>
          <w:color w:val="000000"/>
          <w:szCs w:val="24"/>
        </w:rPr>
        <w:t xml:space="preserve">. The </w:t>
      </w:r>
      <w:r>
        <w:rPr>
          <w:rFonts w:eastAsia="Times New Roman" w:cs="Times New Roman"/>
          <w:color w:val="000000"/>
          <w:szCs w:val="24"/>
        </w:rPr>
        <w:t xml:space="preserve">agent-based modeling technique </w:t>
      </w:r>
      <w:r w:rsidRPr="00686EE4">
        <w:rPr>
          <w:rFonts w:eastAsia="Times New Roman" w:cs="Times New Roman"/>
          <w:color w:val="000000"/>
          <w:szCs w:val="24"/>
        </w:rPr>
        <w:t>developed in this research will lead to new material included in the course</w:t>
      </w:r>
      <w:r>
        <w:rPr>
          <w:rFonts w:eastAsia="Times New Roman" w:cs="Times New Roman"/>
          <w:color w:val="000000"/>
          <w:szCs w:val="24"/>
        </w:rPr>
        <w:t>s</w:t>
      </w:r>
      <w:r w:rsidRPr="00686EE4">
        <w:rPr>
          <w:rFonts w:eastAsia="Times New Roman" w:cs="Times New Roman"/>
          <w:color w:val="000000"/>
          <w:szCs w:val="24"/>
        </w:rPr>
        <w:t xml:space="preserve"> to teach the students practical skills on simulation for modeling </w:t>
      </w:r>
      <w:r>
        <w:rPr>
          <w:rFonts w:eastAsia="Times New Roman" w:cs="Times New Roman"/>
          <w:color w:val="000000"/>
          <w:szCs w:val="24"/>
        </w:rPr>
        <w:t>EVs’ impact</w:t>
      </w:r>
      <w:r w:rsidRPr="00686EE4">
        <w:rPr>
          <w:rFonts w:eastAsia="Times New Roman" w:cs="Times New Roman"/>
          <w:color w:val="000000"/>
          <w:szCs w:val="24"/>
        </w:rPr>
        <w:t xml:space="preserve"> on transportation network.</w:t>
      </w:r>
    </w:p>
    <w:p w14:paraId="6DE2918F" w14:textId="77777777" w:rsidR="00FF7347" w:rsidRDefault="00FF7347" w:rsidP="00FF7347">
      <w:pPr>
        <w:pStyle w:val="Heading1"/>
        <w:rPr>
          <w:rFonts w:eastAsia="Times New Roman" w:cs="Times New Roman"/>
          <w:color w:val="000000"/>
          <w:szCs w:val="24"/>
        </w:rPr>
      </w:pPr>
      <w:r w:rsidRPr="00AE1376">
        <w:t>Technology Transfer</w:t>
      </w:r>
    </w:p>
    <w:p w14:paraId="27F7025A" w14:textId="77777777" w:rsidR="00FF7347" w:rsidRDefault="00FF7347" w:rsidP="007C1345">
      <w:r w:rsidRPr="0068366D">
        <w:t xml:space="preserve">Describe the process you will use for transferring your findings to other researchers, </w:t>
      </w:r>
      <w:proofErr w:type="gramStart"/>
      <w:r w:rsidRPr="0068366D">
        <w:t>professionals</w:t>
      </w:r>
      <w:proofErr w:type="gramEnd"/>
      <w:r w:rsidRPr="0068366D">
        <w:t xml:space="preserve"> and practitioners. The goal should be further development, </w:t>
      </w:r>
      <w:proofErr w:type="gramStart"/>
      <w:r w:rsidRPr="0068366D">
        <w:t>commercialization</w:t>
      </w:r>
      <w:proofErr w:type="gramEnd"/>
      <w:r w:rsidRPr="0068366D">
        <w:t xml:space="preserve"> and practical applications from the results of your research. </w:t>
      </w:r>
      <w:proofErr w:type="gramStart"/>
      <w:r w:rsidRPr="0068366D">
        <w:t>Ultimately, technology</w:t>
      </w:r>
      <w:proofErr w:type="gramEnd"/>
      <w:r w:rsidRPr="0068366D">
        <w:t xml:space="preserve"> transfer should sustain economic growth and improve efficiency, safety, and/or cost effectiveness through the development and commercialization of new technologies and practices. Technology transfer may occur through (but </w:t>
      </w:r>
      <w:proofErr w:type="gramStart"/>
      <w:r w:rsidRPr="0068366D">
        <w:t>is not limited</w:t>
      </w:r>
      <w:proofErr w:type="gramEnd"/>
      <w:r w:rsidRPr="0068366D">
        <w:t xml:space="preserve"> to) conferences, workshops, web pages, social media, and seminars. Please list how you intend to fulfill this requirement and remember to report your technology transfer activities in the</w:t>
      </w:r>
      <w:r>
        <w:t xml:space="preserve"> SAPR (</w:t>
      </w:r>
      <w:r w:rsidRPr="008F0187">
        <w:t>Semi-Annual Progress Report</w:t>
      </w:r>
      <w:r>
        <w:t>) – formerly the</w:t>
      </w:r>
      <w:r w:rsidRPr="0068366D">
        <w:t xml:space="preserve"> PPPR</w:t>
      </w:r>
      <w:r>
        <w:t xml:space="preserve"> –</w:t>
      </w:r>
      <w:r w:rsidRPr="0068366D">
        <w:t xml:space="preserve"> for this project.</w:t>
      </w:r>
    </w:p>
    <w:p w14:paraId="15F2BFB0" w14:textId="7B42168B" w:rsidR="00FF7347" w:rsidRPr="007C1345" w:rsidRDefault="00FF7347" w:rsidP="007C1345">
      <w:pPr>
        <w:autoSpaceDE w:val="0"/>
        <w:autoSpaceDN w:val="0"/>
        <w:adjustRightInd w:val="0"/>
        <w:rPr>
          <w:rFonts w:cs="Times New Roman"/>
          <w:color w:val="000000"/>
          <w:szCs w:val="24"/>
        </w:rPr>
      </w:pPr>
      <w:r w:rsidRPr="00686EE4">
        <w:rPr>
          <w:rFonts w:cs="Times New Roman"/>
          <w:color w:val="000000"/>
          <w:szCs w:val="24"/>
        </w:rPr>
        <w:t xml:space="preserve">The research will inform the Long Range Transportation </w:t>
      </w:r>
      <w:r>
        <w:rPr>
          <w:rFonts w:cs="Times New Roman"/>
          <w:color w:val="000000"/>
          <w:szCs w:val="24"/>
        </w:rPr>
        <w:t>P</w:t>
      </w:r>
      <w:r w:rsidRPr="00686EE4">
        <w:rPr>
          <w:rFonts w:cs="Times New Roman"/>
          <w:color w:val="000000"/>
          <w:szCs w:val="24"/>
        </w:rPr>
        <w:t>lans of UDOT</w:t>
      </w:r>
      <w:r>
        <w:rPr>
          <w:rFonts w:cs="Times New Roman"/>
          <w:color w:val="000000"/>
          <w:szCs w:val="24"/>
        </w:rPr>
        <w:t xml:space="preserve"> and </w:t>
      </w:r>
      <w:r w:rsidRPr="00686EE4">
        <w:rPr>
          <w:rFonts w:cs="Times New Roman"/>
          <w:color w:val="000000"/>
          <w:szCs w:val="24"/>
        </w:rPr>
        <w:t xml:space="preserve">WFRC. </w:t>
      </w:r>
      <w:proofErr w:type="gramStart"/>
      <w:r w:rsidRPr="00686EE4">
        <w:rPr>
          <w:rFonts w:cs="Times New Roman"/>
          <w:color w:val="000000"/>
          <w:szCs w:val="24"/>
        </w:rPr>
        <w:t xml:space="preserve">It is clear that </w:t>
      </w:r>
      <w:r>
        <w:rPr>
          <w:rFonts w:cs="Times New Roman"/>
          <w:color w:val="000000"/>
          <w:szCs w:val="24"/>
        </w:rPr>
        <w:t>there</w:t>
      </w:r>
      <w:proofErr w:type="gramEnd"/>
      <w:r>
        <w:rPr>
          <w:rFonts w:cs="Times New Roman"/>
          <w:color w:val="000000"/>
          <w:szCs w:val="24"/>
        </w:rPr>
        <w:t xml:space="preserve"> has been a significant acceleration of efforts</w:t>
      </w:r>
      <w:r w:rsidRPr="00686EE4">
        <w:rPr>
          <w:rFonts w:cs="Times New Roman"/>
          <w:color w:val="000000"/>
          <w:szCs w:val="24"/>
        </w:rPr>
        <w:t xml:space="preserve"> </w:t>
      </w:r>
      <w:r>
        <w:rPr>
          <w:rFonts w:cs="Times New Roman"/>
          <w:color w:val="000000"/>
          <w:szCs w:val="24"/>
        </w:rPr>
        <w:t xml:space="preserve">by the auto industry, coupled with initiatives at federal and state levels to promote EV adoption. </w:t>
      </w:r>
      <w:r w:rsidRPr="00686EE4">
        <w:rPr>
          <w:rFonts w:cs="Times New Roman"/>
          <w:color w:val="000000"/>
          <w:szCs w:val="24"/>
        </w:rPr>
        <w:t xml:space="preserve">This research will result in greater certainty surrounding </w:t>
      </w:r>
      <w:r>
        <w:rPr>
          <w:rFonts w:cs="Times New Roman"/>
          <w:color w:val="000000"/>
          <w:szCs w:val="24"/>
        </w:rPr>
        <w:t>infrastructure planning for such aggressive EV adoption</w:t>
      </w:r>
      <w:r w:rsidRPr="00686EE4">
        <w:rPr>
          <w:rFonts w:cs="Times New Roman"/>
          <w:color w:val="000000"/>
          <w:szCs w:val="24"/>
        </w:rPr>
        <w:t xml:space="preserve">, and may </w:t>
      </w:r>
      <w:proofErr w:type="gramStart"/>
      <w:r w:rsidRPr="00686EE4">
        <w:rPr>
          <w:rFonts w:cs="Times New Roman"/>
          <w:color w:val="000000"/>
          <w:szCs w:val="24"/>
        </w:rPr>
        <w:t>be used</w:t>
      </w:r>
      <w:proofErr w:type="gramEnd"/>
      <w:r w:rsidRPr="00686EE4">
        <w:rPr>
          <w:rFonts w:cs="Times New Roman"/>
          <w:color w:val="000000"/>
          <w:szCs w:val="24"/>
        </w:rPr>
        <w:t xml:space="preserve"> to understand future capacity needs, as well as point to operational needs during the transition period when </w:t>
      </w:r>
      <w:r>
        <w:rPr>
          <w:rFonts w:cs="Times New Roman"/>
          <w:color w:val="000000"/>
          <w:szCs w:val="24"/>
        </w:rPr>
        <w:t>disruptive technologies</w:t>
      </w:r>
      <w:r w:rsidRPr="00686EE4">
        <w:rPr>
          <w:rFonts w:cs="Times New Roman"/>
          <w:color w:val="000000"/>
          <w:szCs w:val="24"/>
        </w:rPr>
        <w:t xml:space="preserve"> </w:t>
      </w:r>
      <w:r>
        <w:rPr>
          <w:rFonts w:cs="Times New Roman"/>
          <w:color w:val="000000"/>
          <w:szCs w:val="24"/>
        </w:rPr>
        <w:t>get</w:t>
      </w:r>
      <w:r w:rsidRPr="00686EE4">
        <w:rPr>
          <w:rFonts w:cs="Times New Roman"/>
          <w:color w:val="000000"/>
          <w:szCs w:val="24"/>
        </w:rPr>
        <w:t xml:space="preserve"> absorbed into the overall vehicle fleet</w:t>
      </w:r>
      <w:r>
        <w:rPr>
          <w:rFonts w:cs="Times New Roman"/>
          <w:color w:val="000000"/>
          <w:szCs w:val="24"/>
        </w:rPr>
        <w:t>.</w:t>
      </w:r>
    </w:p>
    <w:p w14:paraId="1CB08840" w14:textId="77777777" w:rsidR="00FF7347" w:rsidRPr="00686EE4" w:rsidRDefault="00FF7347" w:rsidP="00DD4641">
      <w:pPr>
        <w:spacing w:after="120"/>
        <w:rPr>
          <w:rFonts w:eastAsia="Times New Roman" w:cs="Times New Roman"/>
          <w:i/>
          <w:color w:val="000000"/>
          <w:szCs w:val="24"/>
        </w:rPr>
      </w:pPr>
      <w:r w:rsidRPr="00686EE4">
        <w:rPr>
          <w:rFonts w:cs="Times New Roman"/>
          <w:szCs w:val="24"/>
        </w:rPr>
        <w:t xml:space="preserve">The potential audiences for this research are individuals involved in </w:t>
      </w:r>
      <w:r>
        <w:rPr>
          <w:rFonts w:cs="Times New Roman"/>
          <w:szCs w:val="24"/>
        </w:rPr>
        <w:t xml:space="preserve">the infrastructure and transportation planning, </w:t>
      </w:r>
      <w:r w:rsidRPr="00686EE4">
        <w:rPr>
          <w:rFonts w:cs="Times New Roman"/>
          <w:szCs w:val="24"/>
        </w:rPr>
        <w:t>including traffic engineers, planners, and senior leaders at FHWA, state DOTs, and MPOs. The following agencies, offices, and committees are those most likely to take a leadership role in implementing the research results:</w:t>
      </w:r>
    </w:p>
    <w:p w14:paraId="3B67B367" w14:textId="77777777" w:rsidR="00FF7347" w:rsidRDefault="00FF7347" w:rsidP="00DD4641">
      <w:pPr>
        <w:pStyle w:val="ListParagraph"/>
        <w:numPr>
          <w:ilvl w:val="0"/>
          <w:numId w:val="3"/>
        </w:numPr>
        <w:spacing w:after="240"/>
        <w:jc w:val="both"/>
        <w:rPr>
          <w:rFonts w:cs="Times New Roman"/>
          <w:szCs w:val="24"/>
        </w:rPr>
      </w:pPr>
      <w:r w:rsidRPr="00686EE4">
        <w:rPr>
          <w:rFonts w:cs="Times New Roman"/>
          <w:szCs w:val="24"/>
        </w:rPr>
        <w:t>Utah Department of Transportation</w:t>
      </w:r>
    </w:p>
    <w:p w14:paraId="145A3A15" w14:textId="77777777" w:rsidR="00FF7347" w:rsidRDefault="00FF7347" w:rsidP="00DD4641">
      <w:pPr>
        <w:pStyle w:val="ListParagraph"/>
        <w:numPr>
          <w:ilvl w:val="0"/>
          <w:numId w:val="3"/>
        </w:numPr>
        <w:spacing w:after="240"/>
        <w:jc w:val="both"/>
        <w:rPr>
          <w:rFonts w:cs="Times New Roman"/>
          <w:szCs w:val="24"/>
        </w:rPr>
      </w:pPr>
      <w:r>
        <w:rPr>
          <w:rFonts w:cs="Times New Roman"/>
          <w:szCs w:val="24"/>
        </w:rPr>
        <w:t>Salt Lake City</w:t>
      </w:r>
    </w:p>
    <w:p w14:paraId="6472EBED" w14:textId="77777777" w:rsidR="00FF7347" w:rsidRPr="00686EE4" w:rsidRDefault="00FF7347" w:rsidP="00DD4641">
      <w:pPr>
        <w:pStyle w:val="ListParagraph"/>
        <w:numPr>
          <w:ilvl w:val="0"/>
          <w:numId w:val="3"/>
        </w:numPr>
        <w:spacing w:after="240"/>
        <w:jc w:val="both"/>
        <w:rPr>
          <w:rFonts w:cs="Times New Roman"/>
          <w:szCs w:val="24"/>
        </w:rPr>
      </w:pPr>
      <w:r>
        <w:rPr>
          <w:rFonts w:cs="Times New Roman"/>
          <w:szCs w:val="24"/>
        </w:rPr>
        <w:t xml:space="preserve">Rocky Mountain Power </w:t>
      </w:r>
    </w:p>
    <w:p w14:paraId="27D1DB0F" w14:textId="77777777" w:rsidR="00FF7347" w:rsidRPr="00686EE4" w:rsidRDefault="00FF7347" w:rsidP="00DD4641">
      <w:pPr>
        <w:pStyle w:val="ListParagraph"/>
        <w:numPr>
          <w:ilvl w:val="0"/>
          <w:numId w:val="3"/>
        </w:numPr>
        <w:spacing w:after="240"/>
        <w:jc w:val="both"/>
        <w:rPr>
          <w:rFonts w:cs="Times New Roman"/>
          <w:szCs w:val="24"/>
        </w:rPr>
      </w:pPr>
      <w:r w:rsidRPr="00686EE4">
        <w:rPr>
          <w:rFonts w:cs="Times New Roman"/>
          <w:szCs w:val="24"/>
        </w:rPr>
        <w:t xml:space="preserve">FHWA Office of Planning </w:t>
      </w:r>
    </w:p>
    <w:p w14:paraId="43A15D5C" w14:textId="155F7B68" w:rsidR="00FF7347" w:rsidRPr="00DD4641" w:rsidRDefault="00FF7347" w:rsidP="00DD4641">
      <w:pPr>
        <w:pStyle w:val="ListParagraph"/>
        <w:numPr>
          <w:ilvl w:val="0"/>
          <w:numId w:val="3"/>
        </w:numPr>
        <w:spacing w:after="240"/>
        <w:jc w:val="both"/>
        <w:rPr>
          <w:rFonts w:cs="Times New Roman"/>
          <w:szCs w:val="24"/>
        </w:rPr>
      </w:pPr>
      <w:r w:rsidRPr="00686EE4">
        <w:rPr>
          <w:rFonts w:cs="Times New Roman"/>
          <w:szCs w:val="24"/>
        </w:rPr>
        <w:t>TRB Highway Capacity and Quality of Service Committee</w:t>
      </w:r>
    </w:p>
    <w:p w14:paraId="20875DCD" w14:textId="5DF5C8F6" w:rsidR="00FF7347" w:rsidRPr="008E783F" w:rsidRDefault="00FF7347" w:rsidP="006F1F6C">
      <w:pPr>
        <w:rPr>
          <w:rFonts w:cs="Times New Roman"/>
          <w:szCs w:val="24"/>
        </w:rPr>
      </w:pPr>
      <w:r w:rsidRPr="00686EE4">
        <w:rPr>
          <w:rFonts w:cs="Times New Roman"/>
          <w:szCs w:val="24"/>
        </w:rPr>
        <w:t>The proposed principal investigator routinely interacts with UDOT, WFRC, UTA, FHWA</w:t>
      </w:r>
      <w:r>
        <w:rPr>
          <w:rFonts w:cs="Times New Roman"/>
          <w:szCs w:val="24"/>
        </w:rPr>
        <w:t xml:space="preserve">, </w:t>
      </w:r>
      <w:r w:rsidRPr="00686EE4">
        <w:rPr>
          <w:rFonts w:cs="Times New Roman"/>
          <w:szCs w:val="24"/>
        </w:rPr>
        <w:t xml:space="preserve">and the listed TRB Committee. </w:t>
      </w:r>
      <w:r>
        <w:rPr>
          <w:rFonts w:cs="Times New Roman"/>
          <w:szCs w:val="24"/>
        </w:rPr>
        <w:t>P</w:t>
      </w:r>
      <w:r w:rsidRPr="00686EE4">
        <w:rPr>
          <w:rFonts w:cs="Times New Roman"/>
          <w:szCs w:val="24"/>
        </w:rPr>
        <w:t>rincipal investigator will work with the</w:t>
      </w:r>
      <w:r>
        <w:rPr>
          <w:rFonts w:cs="Times New Roman"/>
          <w:szCs w:val="24"/>
        </w:rPr>
        <w:t xml:space="preserve"> TRB</w:t>
      </w:r>
      <w:r w:rsidRPr="00686EE4">
        <w:rPr>
          <w:rFonts w:cs="Times New Roman"/>
          <w:szCs w:val="24"/>
        </w:rPr>
        <w:t xml:space="preserve"> committee chairs to </w:t>
      </w:r>
      <w:proofErr w:type="gramStart"/>
      <w:r w:rsidRPr="00686EE4">
        <w:rPr>
          <w:rFonts w:cs="Times New Roman"/>
          <w:szCs w:val="24"/>
        </w:rPr>
        <w:t>possibly get</w:t>
      </w:r>
      <w:proofErr w:type="gramEnd"/>
      <w:r w:rsidRPr="00686EE4">
        <w:rPr>
          <w:rFonts w:cs="Times New Roman"/>
          <w:szCs w:val="24"/>
        </w:rPr>
        <w:t xml:space="preserve"> a presentation on the project added to the agenda.</w:t>
      </w:r>
      <w:r w:rsidR="00D91E17">
        <w:rPr>
          <w:rFonts w:cs="Times New Roman"/>
          <w:szCs w:val="24"/>
        </w:rPr>
        <w:t xml:space="preserve"> </w:t>
      </w:r>
      <w:r>
        <w:rPr>
          <w:rFonts w:cs="Times New Roman"/>
          <w:szCs w:val="24"/>
        </w:rPr>
        <w:t xml:space="preserve">The </w:t>
      </w:r>
      <w:r w:rsidR="00A51C7B">
        <w:rPr>
          <w:rFonts w:cs="Times New Roman"/>
          <w:szCs w:val="24"/>
        </w:rPr>
        <w:t>principal</w:t>
      </w:r>
      <w:r w:rsidRPr="00686EE4">
        <w:rPr>
          <w:rFonts w:cs="Times New Roman"/>
          <w:szCs w:val="24"/>
        </w:rPr>
        <w:t xml:space="preserve"> investigator and her graduate students routinely attend TRB’s annual meeting as well.</w:t>
      </w:r>
      <w:r w:rsidR="00D91E17">
        <w:rPr>
          <w:rFonts w:cs="Times New Roman"/>
          <w:szCs w:val="24"/>
        </w:rPr>
        <w:t xml:space="preserve"> </w:t>
      </w:r>
      <w:r w:rsidRPr="00686EE4">
        <w:rPr>
          <w:rFonts w:cs="Times New Roman"/>
          <w:szCs w:val="24"/>
        </w:rPr>
        <w:t xml:space="preserve">At least one TRB paper on this work will </w:t>
      </w:r>
      <w:proofErr w:type="gramStart"/>
      <w:r w:rsidRPr="00686EE4">
        <w:rPr>
          <w:rFonts w:cs="Times New Roman"/>
          <w:szCs w:val="24"/>
        </w:rPr>
        <w:t>be submitted</w:t>
      </w:r>
      <w:proofErr w:type="gramEnd"/>
      <w:r w:rsidRPr="00686EE4">
        <w:rPr>
          <w:rFonts w:cs="Times New Roman"/>
          <w:szCs w:val="24"/>
        </w:rPr>
        <w:t xml:space="preserve"> for presentation and publication.</w:t>
      </w:r>
    </w:p>
    <w:p w14:paraId="4CFD2F95" w14:textId="77777777" w:rsidR="00FF7347" w:rsidRPr="007A6340" w:rsidRDefault="00FF7347" w:rsidP="00FF7347">
      <w:pPr>
        <w:pStyle w:val="Heading1"/>
      </w:pPr>
      <w:r>
        <w:lastRenderedPageBreak/>
        <w:t>Work Plan</w:t>
      </w:r>
    </w:p>
    <w:p w14:paraId="281739C7" w14:textId="0570CF85" w:rsidR="00FF7347" w:rsidRDefault="00FF7347" w:rsidP="00F471B0">
      <w:pPr>
        <w:spacing w:after="120"/>
        <w:rPr>
          <w:rFonts w:eastAsia="Times New Roman" w:cs="Times New Roman"/>
          <w:color w:val="000000"/>
          <w:szCs w:val="24"/>
        </w:rPr>
      </w:pPr>
      <w:r>
        <w:rPr>
          <w:rFonts w:eastAsia="Times New Roman" w:cs="Times New Roman"/>
          <w:color w:val="000000"/>
          <w:szCs w:val="24"/>
        </w:rPr>
        <w:t xml:space="preserve">A total of seven major tasks </w:t>
      </w:r>
      <w:proofErr w:type="gramStart"/>
      <w:r>
        <w:rPr>
          <w:rFonts w:eastAsia="Times New Roman" w:cs="Times New Roman"/>
          <w:color w:val="000000"/>
          <w:szCs w:val="24"/>
        </w:rPr>
        <w:t>are required</w:t>
      </w:r>
      <w:proofErr w:type="gramEnd"/>
      <w:r>
        <w:rPr>
          <w:rFonts w:eastAsia="Times New Roman" w:cs="Times New Roman"/>
          <w:color w:val="000000"/>
          <w:szCs w:val="24"/>
        </w:rPr>
        <w:t xml:space="preserve"> to complete the project. The expected completion duration </w:t>
      </w:r>
      <w:proofErr w:type="gramStart"/>
      <w:r>
        <w:rPr>
          <w:rFonts w:eastAsia="Times New Roman" w:cs="Times New Roman"/>
          <w:color w:val="000000"/>
          <w:szCs w:val="24"/>
        </w:rPr>
        <w:t>is listed</w:t>
      </w:r>
      <w:proofErr w:type="gramEnd"/>
      <w:r>
        <w:rPr>
          <w:rFonts w:eastAsia="Times New Roman" w:cs="Times New Roman"/>
          <w:color w:val="000000"/>
          <w:szCs w:val="24"/>
        </w:rPr>
        <w:t xml:space="preserve"> below:</w:t>
      </w:r>
    </w:p>
    <w:p w14:paraId="1E10482F" w14:textId="77777777" w:rsidR="00FF7347" w:rsidRPr="00C56CD0" w:rsidRDefault="00FF7347" w:rsidP="00FF7347">
      <w:pPr>
        <w:pStyle w:val="ListParagraph"/>
        <w:numPr>
          <w:ilvl w:val="0"/>
          <w:numId w:val="4"/>
        </w:numPr>
        <w:rPr>
          <w:rFonts w:cs="Times New Roman"/>
          <w:szCs w:val="24"/>
        </w:rPr>
      </w:pPr>
      <w:r w:rsidRPr="00C56CD0">
        <w:rPr>
          <w:rFonts w:cs="Times New Roman"/>
          <w:szCs w:val="24"/>
        </w:rPr>
        <w:t>Synthetic population generation</w:t>
      </w:r>
      <w:r>
        <w:rPr>
          <w:rFonts w:cs="Times New Roman"/>
          <w:szCs w:val="24"/>
        </w:rPr>
        <w:t xml:space="preserve"> (2-month)</w:t>
      </w:r>
    </w:p>
    <w:p w14:paraId="71ADF216" w14:textId="77777777" w:rsidR="00FF7347" w:rsidRPr="00C56CD0" w:rsidRDefault="00FF7347" w:rsidP="00FF7347">
      <w:pPr>
        <w:pStyle w:val="ListParagraph"/>
        <w:numPr>
          <w:ilvl w:val="0"/>
          <w:numId w:val="4"/>
        </w:numPr>
        <w:spacing w:after="0"/>
        <w:rPr>
          <w:rFonts w:cs="Times New Roman"/>
          <w:szCs w:val="24"/>
        </w:rPr>
      </w:pPr>
      <w:r w:rsidRPr="00C56CD0">
        <w:rPr>
          <w:rFonts w:cs="Times New Roman"/>
          <w:szCs w:val="24"/>
        </w:rPr>
        <w:t>Time-inhomogeneous Markov chain</w:t>
      </w:r>
      <w:r>
        <w:rPr>
          <w:rFonts w:cs="Times New Roman"/>
          <w:szCs w:val="24"/>
        </w:rPr>
        <w:t xml:space="preserve"> (2-month)</w:t>
      </w:r>
    </w:p>
    <w:p w14:paraId="392D2CFB" w14:textId="77777777" w:rsidR="00FF7347" w:rsidRPr="00C56CD0" w:rsidRDefault="00FF7347" w:rsidP="00FF7347">
      <w:pPr>
        <w:pStyle w:val="ListParagraph"/>
        <w:numPr>
          <w:ilvl w:val="0"/>
          <w:numId w:val="4"/>
        </w:numPr>
        <w:rPr>
          <w:rFonts w:cs="Times New Roman"/>
          <w:szCs w:val="24"/>
        </w:rPr>
      </w:pPr>
      <w:r w:rsidRPr="00C56CD0">
        <w:rPr>
          <w:rFonts w:cs="Times New Roman"/>
          <w:szCs w:val="24"/>
        </w:rPr>
        <w:t>Location mapping</w:t>
      </w:r>
      <w:r>
        <w:rPr>
          <w:rFonts w:cs="Times New Roman"/>
          <w:szCs w:val="24"/>
        </w:rPr>
        <w:t xml:space="preserve"> (1-month)</w:t>
      </w:r>
    </w:p>
    <w:p w14:paraId="15235DBF" w14:textId="77777777" w:rsidR="00FF7347" w:rsidRPr="00C56CD0" w:rsidRDefault="00FF7347" w:rsidP="00FF7347">
      <w:pPr>
        <w:pStyle w:val="ListParagraph"/>
        <w:numPr>
          <w:ilvl w:val="0"/>
          <w:numId w:val="4"/>
        </w:numPr>
        <w:rPr>
          <w:rFonts w:cs="Times New Roman"/>
          <w:szCs w:val="24"/>
        </w:rPr>
      </w:pPr>
      <w:r w:rsidRPr="00C56CD0">
        <w:rPr>
          <w:rFonts w:cs="Times New Roman"/>
          <w:szCs w:val="24"/>
        </w:rPr>
        <w:t>MATSIM simulation model build-up</w:t>
      </w:r>
      <w:r>
        <w:rPr>
          <w:rFonts w:cs="Times New Roman"/>
          <w:szCs w:val="24"/>
        </w:rPr>
        <w:t xml:space="preserve"> (3-month)</w:t>
      </w:r>
    </w:p>
    <w:p w14:paraId="08D02395" w14:textId="77777777" w:rsidR="00FF7347" w:rsidRPr="00C56CD0" w:rsidRDefault="00FF7347" w:rsidP="00FF7347">
      <w:pPr>
        <w:pStyle w:val="ListParagraph"/>
        <w:numPr>
          <w:ilvl w:val="0"/>
          <w:numId w:val="4"/>
        </w:numPr>
        <w:rPr>
          <w:rFonts w:cs="Times New Roman"/>
          <w:szCs w:val="24"/>
        </w:rPr>
      </w:pPr>
      <w:r w:rsidRPr="00C56CD0">
        <w:rPr>
          <w:rFonts w:cs="Times New Roman"/>
          <w:szCs w:val="24"/>
        </w:rPr>
        <w:t>EV assignment and energy consumption model</w:t>
      </w:r>
      <w:r>
        <w:rPr>
          <w:rFonts w:cs="Times New Roman"/>
          <w:szCs w:val="24"/>
        </w:rPr>
        <w:t xml:space="preserve"> (2-month)</w:t>
      </w:r>
    </w:p>
    <w:p w14:paraId="33F1D1A3" w14:textId="77777777" w:rsidR="00FF7347" w:rsidRPr="00C56CD0" w:rsidRDefault="00FF7347" w:rsidP="00FF7347">
      <w:pPr>
        <w:pStyle w:val="ListParagraph"/>
        <w:numPr>
          <w:ilvl w:val="0"/>
          <w:numId w:val="4"/>
        </w:numPr>
        <w:rPr>
          <w:rFonts w:cs="Times New Roman"/>
          <w:szCs w:val="24"/>
        </w:rPr>
      </w:pPr>
      <w:r w:rsidRPr="00C56CD0">
        <w:rPr>
          <w:rFonts w:cs="Times New Roman"/>
          <w:szCs w:val="24"/>
        </w:rPr>
        <w:t>CMCLP optimization model</w:t>
      </w:r>
      <w:r>
        <w:rPr>
          <w:rFonts w:cs="Times New Roman"/>
          <w:szCs w:val="24"/>
        </w:rPr>
        <w:t xml:space="preserve"> (1-month)</w:t>
      </w:r>
    </w:p>
    <w:p w14:paraId="5F043121" w14:textId="77777777" w:rsidR="00FF7347" w:rsidRPr="00C56CD0" w:rsidRDefault="00FF7347" w:rsidP="00FF7347">
      <w:pPr>
        <w:pStyle w:val="ListParagraph"/>
        <w:numPr>
          <w:ilvl w:val="0"/>
          <w:numId w:val="4"/>
        </w:numPr>
        <w:rPr>
          <w:rFonts w:eastAsia="Times New Roman" w:cs="Times New Roman"/>
          <w:color w:val="000000"/>
          <w:szCs w:val="24"/>
        </w:rPr>
      </w:pPr>
      <w:r w:rsidRPr="00C56CD0">
        <w:rPr>
          <w:rFonts w:eastAsia="Times New Roman" w:cs="Times New Roman"/>
          <w:color w:val="000000"/>
          <w:szCs w:val="24"/>
        </w:rPr>
        <w:t xml:space="preserve">Final Report </w:t>
      </w:r>
      <w:r>
        <w:rPr>
          <w:rFonts w:eastAsia="Times New Roman" w:cs="Times New Roman"/>
          <w:color w:val="000000"/>
          <w:szCs w:val="24"/>
        </w:rPr>
        <w:t>(2-month)</w:t>
      </w:r>
    </w:p>
    <w:p w14:paraId="3EDDB3CD" w14:textId="77777777" w:rsidR="00FF7347" w:rsidRPr="003D6AE7" w:rsidRDefault="00FF7347" w:rsidP="00FF7347">
      <w:pPr>
        <w:pStyle w:val="Heading1"/>
      </w:pPr>
      <w:r>
        <w:t>Project Cost</w:t>
      </w:r>
    </w:p>
    <w:p w14:paraId="5A47A021" w14:textId="77777777" w:rsidR="00FF7347" w:rsidRPr="00F305CF" w:rsidRDefault="00FF7347" w:rsidP="00FF7347">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Pr>
          <w:rFonts w:eastAsia="Times New Roman" w:cs="Times New Roman"/>
          <w:color w:val="000000"/>
          <w:szCs w:val="24"/>
        </w:rPr>
        <w:t>135,000</w:t>
      </w:r>
    </w:p>
    <w:p w14:paraId="08D6F7F8" w14:textId="6E51EBA2" w:rsidR="00FF7347" w:rsidRPr="00F305CF" w:rsidRDefault="00FF7347" w:rsidP="00FF7347">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A2737A">
        <w:rPr>
          <w:rFonts w:eastAsia="Times New Roman" w:cs="Times New Roman"/>
          <w:color w:val="000000"/>
          <w:szCs w:val="24"/>
        </w:rPr>
        <w:tab/>
      </w:r>
      <w:r>
        <w:rPr>
          <w:rFonts w:eastAsia="Times New Roman" w:cs="Times New Roman"/>
          <w:color w:val="000000"/>
          <w:szCs w:val="24"/>
        </w:rPr>
        <w:t>60,000</w:t>
      </w:r>
    </w:p>
    <w:p w14:paraId="39F3A0BD" w14:textId="57C98A1B" w:rsidR="00FF7347" w:rsidRPr="00F305CF" w:rsidRDefault="00FF7347" w:rsidP="00FF7347">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A2737A">
        <w:rPr>
          <w:rFonts w:eastAsia="Times New Roman" w:cs="Times New Roman"/>
          <w:color w:val="000000"/>
          <w:szCs w:val="24"/>
        </w:rPr>
        <w:tab/>
      </w:r>
      <w:r>
        <w:rPr>
          <w:rFonts w:eastAsia="Times New Roman" w:cs="Times New Roman"/>
          <w:color w:val="000000"/>
          <w:szCs w:val="24"/>
        </w:rPr>
        <w:t>75,000</w:t>
      </w:r>
    </w:p>
    <w:p w14:paraId="50A43797" w14:textId="600C6884" w:rsidR="00FF7347" w:rsidRPr="00A2737A" w:rsidRDefault="00FF7347" w:rsidP="00A2737A">
      <w:pPr>
        <w:tabs>
          <w:tab w:val="left" w:pos="2880"/>
          <w:tab w:val="right" w:pos="3780"/>
        </w:tabs>
        <w:spacing w:after="0"/>
        <w:ind w:left="2880" w:hanging="2880"/>
        <w:rPr>
          <w:rFonts w:eastAsia="Times New Roman" w:cs="Times New Roman"/>
          <w:szCs w:val="24"/>
        </w:rPr>
      </w:pPr>
      <w:r w:rsidRPr="00F305CF">
        <w:rPr>
          <w:rFonts w:eastAsia="Times New Roman" w:cs="Times New Roman"/>
          <w:color w:val="000000"/>
          <w:szCs w:val="24"/>
        </w:rPr>
        <w:t>Source of Matching Funds:</w:t>
      </w:r>
      <w:r>
        <w:rPr>
          <w:rFonts w:eastAsia="Times New Roman" w:cs="Times New Roman"/>
          <w:color w:val="000000"/>
          <w:szCs w:val="24"/>
        </w:rPr>
        <w:tab/>
      </w:r>
      <w:r w:rsidRPr="003D6AE7">
        <w:rPr>
          <w:rFonts w:eastAsia="Times New Roman" w:cs="Times New Roman"/>
          <w:szCs w:val="24"/>
        </w:rPr>
        <w:t>GEIRINA (</w:t>
      </w:r>
      <w:r w:rsidRPr="003D6AE7">
        <w:rPr>
          <w:rFonts w:cs="Times New Roman"/>
          <w:szCs w:val="24"/>
          <w:shd w:val="clear" w:color="auto" w:fill="FFFFFF"/>
        </w:rPr>
        <w:t>Global Energy Interconnection Research Institute North America)</w:t>
      </w:r>
    </w:p>
    <w:p w14:paraId="46F56C8E" w14:textId="77777777" w:rsidR="00FF7347" w:rsidRDefault="00FF7347" w:rsidP="00FF7347">
      <w:pPr>
        <w:pStyle w:val="Heading1"/>
      </w:pPr>
      <w:r>
        <w:t>References</w:t>
      </w:r>
    </w:p>
    <w:p w14:paraId="50524F1D" w14:textId="1A02A4EF" w:rsidR="00FF7347" w:rsidRPr="00BC18DF" w:rsidRDefault="00FF7347" w:rsidP="00651266">
      <w:pPr>
        <w:widowControl w:val="0"/>
        <w:autoSpaceDE w:val="0"/>
        <w:autoSpaceDN w:val="0"/>
        <w:adjustRightInd w:val="0"/>
        <w:ind w:left="475" w:hanging="475"/>
        <w:rPr>
          <w:rFonts w:cs="Times New Roman"/>
          <w:noProof/>
          <w:szCs w:val="24"/>
        </w:rPr>
      </w:pPr>
      <w:r w:rsidRPr="00BC18DF">
        <w:rPr>
          <w:rFonts w:cs="Times New Roman"/>
          <w:noProof/>
          <w:szCs w:val="24"/>
        </w:rPr>
        <w:t xml:space="preserve">Borén, S., Nurhadi, L., Ny, H., Robèrt, K. H., Broman, G., &amp; Trygg, L. (2017). A strategic approach to sustainable transport system development - Part 2: the case of a vision for electric vehicle systems in southeast Sweden. </w:t>
      </w:r>
      <w:r w:rsidRPr="00BC18DF">
        <w:rPr>
          <w:rFonts w:cs="Times New Roman"/>
          <w:i/>
          <w:iCs/>
          <w:noProof/>
          <w:szCs w:val="24"/>
        </w:rPr>
        <w:t>Journal of Cleaner Production</w:t>
      </w:r>
      <w:r w:rsidRPr="00BC18DF">
        <w:rPr>
          <w:rFonts w:cs="Times New Roman"/>
          <w:noProof/>
          <w:szCs w:val="24"/>
        </w:rPr>
        <w:t xml:space="preserve">, </w:t>
      </w:r>
      <w:r w:rsidRPr="00BC18DF">
        <w:rPr>
          <w:rFonts w:cs="Times New Roman"/>
          <w:i/>
          <w:iCs/>
          <w:noProof/>
          <w:szCs w:val="24"/>
        </w:rPr>
        <w:t>140</w:t>
      </w:r>
      <w:r w:rsidRPr="00BC18DF">
        <w:rPr>
          <w:rFonts w:cs="Times New Roman"/>
          <w:noProof/>
          <w:szCs w:val="24"/>
        </w:rPr>
        <w:t>, 62</w:t>
      </w:r>
      <w:r w:rsidR="002061F5">
        <w:rPr>
          <w:rFonts w:cs="Times New Roman"/>
          <w:noProof/>
          <w:szCs w:val="24"/>
        </w:rPr>
        <w:t>-</w:t>
      </w:r>
      <w:r w:rsidRPr="00BC18DF">
        <w:rPr>
          <w:rFonts w:cs="Times New Roman"/>
          <w:noProof/>
          <w:szCs w:val="24"/>
        </w:rPr>
        <w:t xml:space="preserve">71. </w:t>
      </w:r>
      <w:r w:rsidR="002061F5">
        <w:rPr>
          <w:rFonts w:cs="Times New Roman"/>
          <w:noProof/>
          <w:szCs w:val="24"/>
        </w:rPr>
        <w:t xml:space="preserve">DOI: </w:t>
      </w:r>
      <w:r w:rsidRPr="00BC18DF">
        <w:rPr>
          <w:rFonts w:cs="Times New Roman"/>
          <w:noProof/>
          <w:szCs w:val="24"/>
        </w:rPr>
        <w:t>10.1016/j.jclepro.2016.02.055</w:t>
      </w:r>
      <w:r w:rsidR="002061F5">
        <w:rPr>
          <w:rFonts w:cs="Times New Roman"/>
          <w:noProof/>
          <w:szCs w:val="24"/>
        </w:rPr>
        <w:t>.</w:t>
      </w:r>
    </w:p>
    <w:p w14:paraId="00B1E8FA" w14:textId="77777777" w:rsidR="00FF7347" w:rsidRPr="00BC18DF" w:rsidRDefault="00FF7347" w:rsidP="00651266">
      <w:pPr>
        <w:widowControl w:val="0"/>
        <w:autoSpaceDE w:val="0"/>
        <w:autoSpaceDN w:val="0"/>
        <w:adjustRightInd w:val="0"/>
        <w:ind w:left="475" w:hanging="475"/>
        <w:rPr>
          <w:rFonts w:cs="Times New Roman"/>
          <w:noProof/>
          <w:szCs w:val="24"/>
        </w:rPr>
      </w:pPr>
      <w:r w:rsidRPr="00BC18DF">
        <w:rPr>
          <w:rFonts w:cs="Times New Roman"/>
          <w:noProof/>
          <w:szCs w:val="24"/>
        </w:rPr>
        <w:t xml:space="preserve">McKinsey. (2019). Expanding electric - vehicle adoption despite early growing pains. </w:t>
      </w:r>
      <w:r w:rsidRPr="00BC18DF">
        <w:rPr>
          <w:rFonts w:cs="Times New Roman"/>
          <w:i/>
          <w:iCs/>
          <w:noProof/>
          <w:szCs w:val="24"/>
        </w:rPr>
        <w:t>McKinsey &amp; Company</w:t>
      </w:r>
      <w:r w:rsidRPr="00BC18DF">
        <w:rPr>
          <w:rFonts w:cs="Times New Roman"/>
          <w:noProof/>
          <w:szCs w:val="24"/>
        </w:rPr>
        <w:t xml:space="preserve">, </w:t>
      </w:r>
      <w:r w:rsidRPr="00BC18DF">
        <w:rPr>
          <w:rFonts w:cs="Times New Roman"/>
          <w:i/>
          <w:iCs/>
          <w:noProof/>
          <w:szCs w:val="24"/>
        </w:rPr>
        <w:t>August</w:t>
      </w:r>
      <w:r w:rsidRPr="00BC18DF">
        <w:rPr>
          <w:rFonts w:cs="Times New Roman"/>
          <w:noProof/>
          <w:szCs w:val="24"/>
        </w:rPr>
        <w:t>.</w:t>
      </w:r>
    </w:p>
    <w:p w14:paraId="44435F57" w14:textId="0F8A1DF7" w:rsidR="00FF7347" w:rsidRPr="00BC18DF" w:rsidRDefault="00FF7347" w:rsidP="00651266">
      <w:pPr>
        <w:widowControl w:val="0"/>
        <w:autoSpaceDE w:val="0"/>
        <w:autoSpaceDN w:val="0"/>
        <w:adjustRightInd w:val="0"/>
        <w:ind w:left="475" w:hanging="475"/>
        <w:rPr>
          <w:rFonts w:cs="Times New Roman"/>
          <w:noProof/>
          <w:szCs w:val="24"/>
        </w:rPr>
      </w:pPr>
      <w:r w:rsidRPr="00BC18DF">
        <w:rPr>
          <w:rFonts w:cs="Times New Roman"/>
          <w:noProof/>
          <w:szCs w:val="24"/>
        </w:rPr>
        <w:t xml:space="preserve">Ou, S., Lin, Z., He, X., &amp; Przesmitzki, S. (2018). Estimation of vehicle home parking availability in China and quantification of its potential impacts on plug-in electric vehicle ownership cost. </w:t>
      </w:r>
      <w:r w:rsidRPr="00BC18DF">
        <w:rPr>
          <w:rFonts w:cs="Times New Roman"/>
          <w:i/>
          <w:iCs/>
          <w:noProof/>
          <w:szCs w:val="24"/>
        </w:rPr>
        <w:t>Transport Policy</w:t>
      </w:r>
      <w:r w:rsidRPr="00BC18DF">
        <w:rPr>
          <w:rFonts w:cs="Times New Roman"/>
          <w:noProof/>
          <w:szCs w:val="24"/>
        </w:rPr>
        <w:t xml:space="preserve">, </w:t>
      </w:r>
      <w:r w:rsidRPr="00BC18DF">
        <w:rPr>
          <w:rFonts w:cs="Times New Roman"/>
          <w:i/>
          <w:iCs/>
          <w:noProof/>
          <w:szCs w:val="24"/>
        </w:rPr>
        <w:t>68</w:t>
      </w:r>
      <w:r w:rsidRPr="00BC18DF">
        <w:rPr>
          <w:rFonts w:cs="Times New Roman"/>
          <w:noProof/>
          <w:szCs w:val="24"/>
        </w:rPr>
        <w:t>(April), 107</w:t>
      </w:r>
      <w:r w:rsidR="002061F5">
        <w:rPr>
          <w:rFonts w:cs="Times New Roman"/>
          <w:noProof/>
          <w:szCs w:val="24"/>
        </w:rPr>
        <w:t>-</w:t>
      </w:r>
      <w:r w:rsidRPr="00BC18DF">
        <w:rPr>
          <w:rFonts w:cs="Times New Roman"/>
          <w:noProof/>
          <w:szCs w:val="24"/>
        </w:rPr>
        <w:t xml:space="preserve">117. </w:t>
      </w:r>
      <w:r w:rsidR="002061F5">
        <w:rPr>
          <w:rFonts w:cs="Times New Roman"/>
          <w:noProof/>
          <w:szCs w:val="24"/>
        </w:rPr>
        <w:t xml:space="preserve">DOI: </w:t>
      </w:r>
      <w:r w:rsidRPr="00BC18DF">
        <w:rPr>
          <w:rFonts w:cs="Times New Roman"/>
          <w:noProof/>
          <w:szCs w:val="24"/>
        </w:rPr>
        <w:t>10.1016/j.tranpol.2018.04.014</w:t>
      </w:r>
      <w:r w:rsidR="002061F5">
        <w:rPr>
          <w:rFonts w:cs="Times New Roman"/>
          <w:noProof/>
          <w:szCs w:val="24"/>
        </w:rPr>
        <w:t>.</w:t>
      </w:r>
    </w:p>
    <w:p w14:paraId="67AD6000" w14:textId="77777777" w:rsidR="00FF7347" w:rsidRDefault="00FF7347" w:rsidP="00651266">
      <w:pPr>
        <w:widowControl w:val="0"/>
        <w:autoSpaceDE w:val="0"/>
        <w:autoSpaceDN w:val="0"/>
        <w:adjustRightInd w:val="0"/>
        <w:ind w:left="475" w:hanging="475"/>
        <w:rPr>
          <w:rFonts w:cs="Times New Roman"/>
          <w:noProof/>
          <w:szCs w:val="24"/>
        </w:rPr>
      </w:pPr>
      <w:r w:rsidRPr="00BC18DF">
        <w:rPr>
          <w:rFonts w:cs="Times New Roman"/>
          <w:noProof/>
          <w:szCs w:val="24"/>
        </w:rPr>
        <w:t xml:space="preserve">Paoli, L., </w:t>
      </w:r>
      <w:r>
        <w:rPr>
          <w:rFonts w:cs="Times New Roman"/>
          <w:noProof/>
          <w:szCs w:val="24"/>
        </w:rPr>
        <w:t>and</w:t>
      </w:r>
      <w:r w:rsidRPr="00BC18DF">
        <w:rPr>
          <w:rFonts w:cs="Times New Roman"/>
          <w:noProof/>
          <w:szCs w:val="24"/>
        </w:rPr>
        <w:t xml:space="preserve"> Gül, T. (2022). </w:t>
      </w:r>
      <w:r w:rsidRPr="00BC18DF">
        <w:rPr>
          <w:rFonts w:cs="Times New Roman"/>
          <w:i/>
          <w:iCs/>
          <w:noProof/>
          <w:szCs w:val="24"/>
        </w:rPr>
        <w:t>Electric cars fend off supply challenges to more than double global sales</w:t>
      </w:r>
      <w:r w:rsidRPr="00BC18DF">
        <w:rPr>
          <w:rFonts w:cs="Times New Roman"/>
          <w:noProof/>
          <w:szCs w:val="24"/>
        </w:rPr>
        <w:t>.</w:t>
      </w:r>
    </w:p>
    <w:p w14:paraId="0148CBAD" w14:textId="2863B4C0" w:rsidR="00FF7347" w:rsidRPr="00BC18DF" w:rsidRDefault="00FF7347" w:rsidP="00651266">
      <w:pPr>
        <w:widowControl w:val="0"/>
        <w:autoSpaceDE w:val="0"/>
        <w:autoSpaceDN w:val="0"/>
        <w:adjustRightInd w:val="0"/>
        <w:ind w:left="475" w:hanging="475"/>
        <w:rPr>
          <w:rFonts w:cs="Times New Roman"/>
          <w:noProof/>
          <w:szCs w:val="24"/>
        </w:rPr>
      </w:pPr>
      <w:r w:rsidRPr="00BC18DF">
        <w:rPr>
          <w:rFonts w:cs="Times New Roman"/>
          <w:noProof/>
          <w:szCs w:val="24"/>
        </w:rPr>
        <w:t xml:space="preserve">Smart, J., </w:t>
      </w:r>
      <w:r>
        <w:rPr>
          <w:rFonts w:cs="Times New Roman"/>
          <w:noProof/>
          <w:szCs w:val="24"/>
        </w:rPr>
        <w:t>and</w:t>
      </w:r>
      <w:r w:rsidRPr="00BC18DF">
        <w:rPr>
          <w:rFonts w:cs="Times New Roman"/>
          <w:noProof/>
          <w:szCs w:val="24"/>
        </w:rPr>
        <w:t xml:space="preserve"> Schey, S. (2012). Battery electric vehicle driving and charging behavior observed early in the EV project. </w:t>
      </w:r>
      <w:r w:rsidRPr="00BC18DF">
        <w:rPr>
          <w:rFonts w:cs="Times New Roman"/>
          <w:i/>
          <w:iCs/>
          <w:noProof/>
          <w:szCs w:val="24"/>
        </w:rPr>
        <w:t>SAE Technical Papers</w:t>
      </w:r>
      <w:r w:rsidRPr="00BC18DF">
        <w:rPr>
          <w:rFonts w:cs="Times New Roman"/>
          <w:noProof/>
          <w:szCs w:val="24"/>
        </w:rPr>
        <w:t xml:space="preserve">, </w:t>
      </w:r>
      <w:r w:rsidRPr="00BC18DF">
        <w:rPr>
          <w:rFonts w:cs="Times New Roman"/>
          <w:i/>
          <w:iCs/>
          <w:noProof/>
          <w:szCs w:val="24"/>
        </w:rPr>
        <w:t>1</w:t>
      </w:r>
      <w:r w:rsidRPr="00BC18DF">
        <w:rPr>
          <w:rFonts w:cs="Times New Roman"/>
          <w:noProof/>
          <w:szCs w:val="24"/>
        </w:rPr>
        <w:t>(1), 27</w:t>
      </w:r>
      <w:r w:rsidR="002061F5">
        <w:rPr>
          <w:rFonts w:cs="Times New Roman"/>
          <w:noProof/>
          <w:szCs w:val="24"/>
        </w:rPr>
        <w:t>-</w:t>
      </w:r>
      <w:r w:rsidRPr="00BC18DF">
        <w:rPr>
          <w:rFonts w:cs="Times New Roman"/>
          <w:noProof/>
          <w:szCs w:val="24"/>
        </w:rPr>
        <w:t xml:space="preserve">33. </w:t>
      </w:r>
      <w:r w:rsidR="002061F5">
        <w:rPr>
          <w:rFonts w:cs="Times New Roman"/>
          <w:noProof/>
          <w:szCs w:val="24"/>
        </w:rPr>
        <w:t xml:space="preserve">DOI: </w:t>
      </w:r>
      <w:r w:rsidRPr="00BC18DF">
        <w:rPr>
          <w:rFonts w:cs="Times New Roman"/>
          <w:noProof/>
          <w:szCs w:val="24"/>
        </w:rPr>
        <w:t>10.4271/2012-01-0199</w:t>
      </w:r>
      <w:r w:rsidR="002061F5">
        <w:rPr>
          <w:rFonts w:cs="Times New Roman"/>
          <w:noProof/>
          <w:szCs w:val="24"/>
        </w:rPr>
        <w:t>.</w:t>
      </w:r>
    </w:p>
    <w:p w14:paraId="6901A3A9" w14:textId="55B08E56" w:rsidR="002A3114" w:rsidRPr="00651266" w:rsidRDefault="00FF7347" w:rsidP="00651266">
      <w:pPr>
        <w:widowControl w:val="0"/>
        <w:autoSpaceDE w:val="0"/>
        <w:autoSpaceDN w:val="0"/>
        <w:adjustRightInd w:val="0"/>
        <w:ind w:left="475" w:hanging="475"/>
        <w:rPr>
          <w:rFonts w:cs="Times New Roman"/>
          <w:noProof/>
          <w:szCs w:val="24"/>
        </w:rPr>
      </w:pPr>
      <w:r w:rsidRPr="00BC18DF">
        <w:rPr>
          <w:rFonts w:cs="Times New Roman"/>
          <w:noProof/>
          <w:szCs w:val="24"/>
        </w:rPr>
        <w:t xml:space="preserve">Yang, J., Dong, J., &amp; Hu, L. (2018). Design government incentive schemes for promoting electric taxis in China. </w:t>
      </w:r>
      <w:r w:rsidRPr="00BC18DF">
        <w:rPr>
          <w:rFonts w:cs="Times New Roman"/>
          <w:i/>
          <w:iCs/>
          <w:noProof/>
          <w:szCs w:val="24"/>
        </w:rPr>
        <w:t>Energy Policy</w:t>
      </w:r>
      <w:r w:rsidRPr="00BC18DF">
        <w:rPr>
          <w:rFonts w:cs="Times New Roman"/>
          <w:noProof/>
          <w:szCs w:val="24"/>
        </w:rPr>
        <w:t xml:space="preserve">, </w:t>
      </w:r>
      <w:r w:rsidRPr="00BC18DF">
        <w:rPr>
          <w:rFonts w:cs="Times New Roman"/>
          <w:i/>
          <w:iCs/>
          <w:noProof/>
          <w:szCs w:val="24"/>
        </w:rPr>
        <w:t>115</w:t>
      </w:r>
      <w:r w:rsidRPr="00BC18DF">
        <w:rPr>
          <w:rFonts w:cs="Times New Roman"/>
          <w:noProof/>
          <w:szCs w:val="24"/>
        </w:rPr>
        <w:t xml:space="preserve">(2), 1–11. </w:t>
      </w:r>
      <w:r w:rsidR="002061F5">
        <w:rPr>
          <w:rFonts w:cs="Times New Roman"/>
          <w:noProof/>
          <w:szCs w:val="24"/>
        </w:rPr>
        <w:t xml:space="preserve">DOI: </w:t>
      </w:r>
      <w:r w:rsidRPr="00BC18DF">
        <w:rPr>
          <w:rFonts w:cs="Times New Roman"/>
          <w:noProof/>
          <w:szCs w:val="24"/>
        </w:rPr>
        <w:t>10.1016/j.enpol.2017.12.030</w:t>
      </w:r>
      <w:r w:rsidR="002061F5">
        <w:rPr>
          <w:rFonts w:cs="Times New Roman"/>
          <w:noProof/>
          <w:szCs w:val="24"/>
        </w:rPr>
        <w:t>.</w:t>
      </w:r>
    </w:p>
    <w:sectPr w:rsidR="002A3114" w:rsidRPr="006512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87AA" w14:textId="77777777" w:rsidR="00C96F6F" w:rsidRDefault="00C96F6F" w:rsidP="00D527FC">
      <w:pPr>
        <w:spacing w:after="0"/>
      </w:pPr>
      <w:r>
        <w:separator/>
      </w:r>
    </w:p>
  </w:endnote>
  <w:endnote w:type="continuationSeparator" w:id="0">
    <w:p w14:paraId="61B95114" w14:textId="77777777" w:rsidR="00C96F6F" w:rsidRDefault="00C96F6F" w:rsidP="00D52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10918"/>
      <w:docPartObj>
        <w:docPartGallery w:val="Page Numbers (Bottom of Page)"/>
        <w:docPartUnique/>
      </w:docPartObj>
    </w:sdtPr>
    <w:sdtEndPr>
      <w:rPr>
        <w:noProof/>
      </w:rPr>
    </w:sdtEndPr>
    <w:sdtContent>
      <w:p w14:paraId="6D90F054" w14:textId="533E4367" w:rsidR="00D527FC" w:rsidRDefault="00D527FC" w:rsidP="004459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C3DA" w14:textId="77777777" w:rsidR="00C96F6F" w:rsidRDefault="00C96F6F" w:rsidP="00D527FC">
      <w:pPr>
        <w:spacing w:after="0"/>
      </w:pPr>
      <w:r>
        <w:separator/>
      </w:r>
    </w:p>
  </w:footnote>
  <w:footnote w:type="continuationSeparator" w:id="0">
    <w:p w14:paraId="4E529C1D" w14:textId="77777777" w:rsidR="00C96F6F" w:rsidRDefault="00C96F6F" w:rsidP="00D527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5C31"/>
    <w:multiLevelType w:val="hybridMultilevel"/>
    <w:tmpl w:val="3E1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3508"/>
    <w:multiLevelType w:val="hybridMultilevel"/>
    <w:tmpl w:val="F7CA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7650B"/>
    <w:multiLevelType w:val="hybridMultilevel"/>
    <w:tmpl w:val="5B4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C03D2"/>
    <w:multiLevelType w:val="hybridMultilevel"/>
    <w:tmpl w:val="8B6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94447">
    <w:abstractNumId w:val="1"/>
  </w:num>
  <w:num w:numId="2" w16cid:durableId="119105605">
    <w:abstractNumId w:val="3"/>
  </w:num>
  <w:num w:numId="3" w16cid:durableId="151796604">
    <w:abstractNumId w:val="2"/>
  </w:num>
  <w:num w:numId="4" w16cid:durableId="113760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wRiQ0tjAxMjMyUdpeDU4uLM/DyQAsNaADqLdX0sAAAA"/>
  </w:docVars>
  <w:rsids>
    <w:rsidRoot w:val="00FF7347"/>
    <w:rsid w:val="001B5C14"/>
    <w:rsid w:val="001B6A1E"/>
    <w:rsid w:val="002061F5"/>
    <w:rsid w:val="00236800"/>
    <w:rsid w:val="00257237"/>
    <w:rsid w:val="002A3114"/>
    <w:rsid w:val="002E1703"/>
    <w:rsid w:val="0044597E"/>
    <w:rsid w:val="00514AE0"/>
    <w:rsid w:val="00534622"/>
    <w:rsid w:val="005A0527"/>
    <w:rsid w:val="00602E67"/>
    <w:rsid w:val="00606B22"/>
    <w:rsid w:val="00651266"/>
    <w:rsid w:val="00661500"/>
    <w:rsid w:val="006C4819"/>
    <w:rsid w:val="006F1F6C"/>
    <w:rsid w:val="00783108"/>
    <w:rsid w:val="007A0513"/>
    <w:rsid w:val="007C1345"/>
    <w:rsid w:val="008869E1"/>
    <w:rsid w:val="008A70CC"/>
    <w:rsid w:val="008C778B"/>
    <w:rsid w:val="00960F23"/>
    <w:rsid w:val="009C029C"/>
    <w:rsid w:val="009F6A1B"/>
    <w:rsid w:val="00A2737A"/>
    <w:rsid w:val="00A44086"/>
    <w:rsid w:val="00A51C7B"/>
    <w:rsid w:val="00A848CF"/>
    <w:rsid w:val="00B2300A"/>
    <w:rsid w:val="00C96F6F"/>
    <w:rsid w:val="00D527FC"/>
    <w:rsid w:val="00D70D73"/>
    <w:rsid w:val="00D91E17"/>
    <w:rsid w:val="00DD4641"/>
    <w:rsid w:val="00E203F8"/>
    <w:rsid w:val="00E82E8E"/>
    <w:rsid w:val="00E94D8F"/>
    <w:rsid w:val="00F471B0"/>
    <w:rsid w:val="00FF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31C5"/>
  <w15:chartTrackingRefBased/>
  <w15:docId w15:val="{7F8CFF94-B717-47C6-9857-75510C3F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47"/>
    <w:pPr>
      <w:spacing w:after="240" w:line="240" w:lineRule="auto"/>
    </w:pPr>
    <w:rPr>
      <w:rFonts w:ascii="Times New Roman" w:eastAsiaTheme="minorHAnsi" w:hAnsi="Times New Roman"/>
      <w:sz w:val="24"/>
      <w:lang w:eastAsia="en-US"/>
    </w:rPr>
  </w:style>
  <w:style w:type="paragraph" w:styleId="Heading1">
    <w:name w:val="heading 1"/>
    <w:basedOn w:val="Normal"/>
    <w:next w:val="Normal"/>
    <w:link w:val="Heading1Char"/>
    <w:uiPriority w:val="9"/>
    <w:qFormat/>
    <w:rsid w:val="008A70CC"/>
    <w:pPr>
      <w:keepNext/>
      <w:spacing w:before="24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0CC"/>
    <w:rPr>
      <w:rFonts w:ascii="Times New Roman" w:eastAsiaTheme="minorHAnsi" w:hAnsi="Times New Roman"/>
      <w:b/>
      <w:sz w:val="24"/>
      <w:lang w:eastAsia="en-US"/>
    </w:rPr>
  </w:style>
  <w:style w:type="character" w:styleId="Hyperlink">
    <w:name w:val="Hyperlink"/>
    <w:basedOn w:val="DefaultParagraphFont"/>
    <w:uiPriority w:val="99"/>
    <w:unhideWhenUsed/>
    <w:rsid w:val="00FF7347"/>
    <w:rPr>
      <w:color w:val="0000FF"/>
      <w:u w:val="single"/>
    </w:rPr>
  </w:style>
  <w:style w:type="paragraph" w:styleId="Title">
    <w:name w:val="Title"/>
    <w:basedOn w:val="Normal"/>
    <w:next w:val="Normal"/>
    <w:link w:val="TitleChar"/>
    <w:uiPriority w:val="10"/>
    <w:qFormat/>
    <w:rsid w:val="00FF734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F7347"/>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link w:val="ListParagraphChar"/>
    <w:uiPriority w:val="34"/>
    <w:qFormat/>
    <w:rsid w:val="00FF7347"/>
    <w:pPr>
      <w:spacing w:after="120"/>
      <w:ind w:left="720"/>
      <w:contextualSpacing/>
    </w:pPr>
  </w:style>
  <w:style w:type="paragraph" w:customStyle="1" w:styleId="Default">
    <w:name w:val="Default"/>
    <w:rsid w:val="00FF73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FF7347"/>
    <w:rPr>
      <w:rFonts w:ascii="Times New Roman" w:eastAsiaTheme="minorHAnsi" w:hAnsi="Times New Roman"/>
      <w:sz w:val="24"/>
      <w:lang w:eastAsia="en-US"/>
    </w:rPr>
  </w:style>
  <w:style w:type="paragraph" w:styleId="Header">
    <w:name w:val="header"/>
    <w:basedOn w:val="Normal"/>
    <w:link w:val="HeaderChar"/>
    <w:uiPriority w:val="99"/>
    <w:unhideWhenUsed/>
    <w:rsid w:val="00D527FC"/>
    <w:pPr>
      <w:tabs>
        <w:tab w:val="center" w:pos="4680"/>
        <w:tab w:val="right" w:pos="9360"/>
      </w:tabs>
      <w:spacing w:after="0"/>
    </w:pPr>
  </w:style>
  <w:style w:type="character" w:customStyle="1" w:styleId="HeaderChar">
    <w:name w:val="Header Char"/>
    <w:basedOn w:val="DefaultParagraphFont"/>
    <w:link w:val="Header"/>
    <w:uiPriority w:val="99"/>
    <w:rsid w:val="00D527FC"/>
    <w:rPr>
      <w:rFonts w:ascii="Times New Roman" w:eastAsiaTheme="minorHAnsi" w:hAnsi="Times New Roman"/>
      <w:sz w:val="24"/>
      <w:lang w:eastAsia="en-US"/>
    </w:rPr>
  </w:style>
  <w:style w:type="paragraph" w:styleId="Footer">
    <w:name w:val="footer"/>
    <w:basedOn w:val="Normal"/>
    <w:link w:val="FooterChar"/>
    <w:uiPriority w:val="99"/>
    <w:unhideWhenUsed/>
    <w:rsid w:val="00D527FC"/>
    <w:pPr>
      <w:tabs>
        <w:tab w:val="center" w:pos="4680"/>
        <w:tab w:val="right" w:pos="9360"/>
      </w:tabs>
      <w:spacing w:after="0"/>
    </w:pPr>
  </w:style>
  <w:style w:type="character" w:customStyle="1" w:styleId="FooterChar">
    <w:name w:val="Footer Char"/>
    <w:basedOn w:val="DefaultParagraphFont"/>
    <w:link w:val="Footer"/>
    <w:uiPriority w:val="99"/>
    <w:rsid w:val="00D527FC"/>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Microscopic Approach for Electric Vehicle Demand Estimation (MPC-697)</dc:title>
  <dc:subject/>
  <dc:creator>XIAOYUE CATHY LIU</dc:creator>
  <cp:keywords/>
  <dc:description/>
  <cp:lastModifiedBy>Nichols, Patrick</cp:lastModifiedBy>
  <cp:revision>31</cp:revision>
  <dcterms:created xsi:type="dcterms:W3CDTF">2022-06-30T16:11:00Z</dcterms:created>
  <dcterms:modified xsi:type="dcterms:W3CDTF">2022-11-02T13:23:00Z</dcterms:modified>
</cp:coreProperties>
</file>